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240" w:lineRule="auto"/>
        <w:jc w:val="center"/>
        <w:outlineLvl w:val="0"/>
        <w:rPr>
          <w:rFonts w:hint="eastAsia" w:ascii="黑体" w:hAnsi="黑体" w:eastAsia="黑体" w:cs="Times New Roman"/>
          <w:b/>
          <w:bCs w:val="0"/>
          <w:color w:val="auto"/>
          <w:kern w:val="0"/>
          <w:sz w:val="36"/>
          <w:szCs w:val="36"/>
          <w:highlight w:val="none"/>
        </w:rPr>
      </w:pPr>
      <w:r>
        <w:rPr>
          <w:rFonts w:hint="eastAsia" w:ascii="黑体" w:hAnsi="黑体" w:eastAsia="黑体" w:cs="Times New Roman"/>
          <w:b/>
          <w:bCs w:val="0"/>
          <w:color w:val="auto"/>
          <w:kern w:val="0"/>
          <w:sz w:val="36"/>
          <w:szCs w:val="36"/>
          <w:highlight w:val="none"/>
        </w:rPr>
        <w:t>东华理工大学艺术硕士研究生培养方案</w:t>
      </w:r>
    </w:p>
    <w:p>
      <w:pPr>
        <w:widowControl/>
        <w:spacing w:line="240" w:lineRule="auto"/>
        <w:jc w:val="center"/>
        <w:outlineLvl w:val="0"/>
        <w:rPr>
          <w:rFonts w:ascii="黑体" w:hAnsi="黑体" w:eastAsia="黑体" w:cs="Times New Roman"/>
          <w:b/>
          <w:bCs w:val="0"/>
          <w:color w:val="auto"/>
          <w:kern w:val="0"/>
          <w:sz w:val="36"/>
          <w:szCs w:val="36"/>
          <w:highlight w:val="none"/>
        </w:rPr>
      </w:pPr>
      <w:r>
        <w:rPr>
          <w:rFonts w:hint="eastAsia" w:ascii="黑体" w:hAnsi="黑体" w:eastAsia="黑体" w:cs="Times New Roman"/>
          <w:b/>
          <w:bCs w:val="0"/>
          <w:color w:val="auto"/>
          <w:kern w:val="0"/>
          <w:sz w:val="36"/>
          <w:szCs w:val="36"/>
          <w:highlight w:val="none"/>
        </w:rPr>
        <w:t>（艺术设计领域）</w:t>
      </w:r>
    </w:p>
    <w:p>
      <w:pPr>
        <w:widowControl/>
        <w:spacing w:line="240" w:lineRule="auto"/>
        <w:jc w:val="center"/>
        <w:outlineLvl w:val="0"/>
        <w:rPr>
          <w:rFonts w:ascii="黑体" w:hAnsi="黑体" w:eastAsia="黑体" w:cs="Times New Roman"/>
          <w:b/>
          <w:bCs w:val="0"/>
          <w:color w:val="auto"/>
          <w:kern w:val="0"/>
          <w:sz w:val="36"/>
          <w:szCs w:val="36"/>
          <w:highlight w:val="none"/>
        </w:rPr>
      </w:pPr>
      <w:r>
        <w:rPr>
          <w:rFonts w:hint="eastAsia" w:ascii="黑体" w:hAnsi="黑体" w:eastAsia="黑体" w:cs="Times New Roman"/>
          <w:b/>
          <w:bCs w:val="0"/>
          <w:color w:val="auto"/>
          <w:kern w:val="0"/>
          <w:sz w:val="36"/>
          <w:szCs w:val="36"/>
          <w:highlight w:val="none"/>
        </w:rPr>
        <w:t>(代码：135108)</w:t>
      </w:r>
    </w:p>
    <w:p>
      <w:pPr>
        <w:widowControl w:val="0"/>
        <w:adjustRightInd/>
        <w:snapToGrid/>
        <w:spacing w:after="0" w:line="240" w:lineRule="auto"/>
        <w:ind w:left="281" w:hanging="280" w:hangingChars="100"/>
        <w:jc w:val="both"/>
        <w:outlineLvl w:val="0"/>
        <w:rPr>
          <w:rFonts w:ascii="黑体" w:hAnsi="黑体" w:eastAsia="黑体"/>
          <w:b/>
          <w:bCs w:val="0"/>
          <w:color w:val="auto"/>
          <w:kern w:val="2"/>
          <w:sz w:val="28"/>
          <w:szCs w:val="28"/>
          <w:highlight w:val="none"/>
        </w:rPr>
      </w:pPr>
      <w:r>
        <w:rPr>
          <w:rFonts w:hint="eastAsia" w:ascii="黑体" w:hAnsi="黑体" w:eastAsia="黑体"/>
          <w:b/>
          <w:bCs w:val="0"/>
          <w:color w:val="auto"/>
          <w:kern w:val="2"/>
          <w:sz w:val="28"/>
          <w:szCs w:val="28"/>
          <w:highlight w:val="none"/>
        </w:rPr>
        <w:t>一、</w:t>
      </w:r>
      <w:r>
        <w:rPr>
          <w:rFonts w:hint="eastAsia" w:ascii="黑体" w:hAnsi="黑体" w:eastAsia="黑体"/>
          <w:b/>
          <w:bCs w:val="0"/>
          <w:color w:val="auto"/>
          <w:kern w:val="2"/>
          <w:sz w:val="28"/>
          <w:szCs w:val="28"/>
          <w:highlight w:val="none"/>
          <w:lang w:val="en-US" w:eastAsia="zh-CN"/>
        </w:rPr>
        <w:t>学科</w:t>
      </w:r>
      <w:r>
        <w:rPr>
          <w:rFonts w:hint="eastAsia" w:ascii="黑体" w:hAnsi="黑体" w:eastAsia="黑体"/>
          <w:b/>
          <w:bCs w:val="0"/>
          <w:color w:val="auto"/>
          <w:kern w:val="2"/>
          <w:sz w:val="28"/>
          <w:szCs w:val="28"/>
          <w:highlight w:val="none"/>
        </w:rPr>
        <w:t>简介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东华理工大学艺术学科发展起步早，始于1977年创办的艺术系，下设美术、音乐专业，是江西省最早设置艺术类专业的院校之一。2014年经国务院学位办批准，学科教学美术获得国家教育硕士专业学位授予权。2015年经江西省教育厅批准，设立紧缺学科的国培基地。2019年获得艺术硕士（MFA）专业学位授予权，涵盖美术、艺术设计、音乐3个专业领域。</w:t>
      </w:r>
    </w:p>
    <w:p>
      <w:pPr>
        <w:spacing w:line="240" w:lineRule="auto"/>
        <w:ind w:right="210"/>
        <w:outlineLvl w:val="0"/>
        <w:rPr>
          <w:rFonts w:ascii="黑体" w:hAnsi="黑体" w:eastAsia="黑体" w:cs="Times New Roman"/>
          <w:b/>
          <w:bCs w:val="0"/>
          <w:color w:val="auto"/>
          <w:kern w:val="0"/>
          <w:sz w:val="28"/>
          <w:szCs w:val="28"/>
          <w:highlight w:val="none"/>
        </w:rPr>
      </w:pPr>
      <w:r>
        <w:rPr>
          <w:rFonts w:hint="eastAsia" w:ascii="黑体" w:hAnsi="黑体" w:eastAsia="黑体" w:cs="Times New Roman"/>
          <w:b/>
          <w:bCs w:val="0"/>
          <w:color w:val="auto"/>
          <w:kern w:val="0"/>
          <w:sz w:val="28"/>
          <w:szCs w:val="28"/>
          <w:highlight w:val="none"/>
        </w:rPr>
        <w:t>二</w:t>
      </w:r>
      <w:r>
        <w:rPr>
          <w:rFonts w:ascii="黑体" w:hAnsi="黑体" w:eastAsia="黑体" w:cs="Times New Roman"/>
          <w:b/>
          <w:bCs w:val="0"/>
          <w:color w:val="auto"/>
          <w:kern w:val="0"/>
          <w:sz w:val="28"/>
          <w:szCs w:val="28"/>
          <w:highlight w:val="none"/>
        </w:rPr>
        <w:t>、培养目标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艺术设计领域艺术硕士专业学位教育，旨在贯彻落实党的教育方针和立德树人根本任务，坚持艺术与科学相结合，传统文化与现代技术相融合，坚持设计教育对接区域产业和文化创意产业发展领域，依托学校学科优势，培养具有良好职业道德、系统专业知识、高水平专业技能及良好综合素养的高层次应用型专业人才。</w:t>
      </w:r>
    </w:p>
    <w:p>
      <w:pPr>
        <w:spacing w:line="240" w:lineRule="auto"/>
        <w:ind w:right="210"/>
        <w:outlineLvl w:val="0"/>
        <w:rPr>
          <w:rFonts w:ascii="黑体" w:hAnsi="黑体" w:eastAsia="黑体" w:cs="Times New Roman"/>
          <w:b/>
          <w:bCs w:val="0"/>
          <w:color w:val="auto"/>
          <w:kern w:val="0"/>
          <w:sz w:val="28"/>
          <w:szCs w:val="28"/>
          <w:highlight w:val="none"/>
        </w:rPr>
      </w:pPr>
      <w:r>
        <w:rPr>
          <w:rFonts w:hint="eastAsia" w:ascii="黑体" w:hAnsi="黑体" w:eastAsia="黑体" w:cs="Times New Roman"/>
          <w:b/>
          <w:bCs w:val="0"/>
          <w:color w:val="auto"/>
          <w:kern w:val="0"/>
          <w:sz w:val="28"/>
          <w:szCs w:val="28"/>
          <w:highlight w:val="none"/>
        </w:rPr>
        <w:t>三、招生对象</w:t>
      </w:r>
    </w:p>
    <w:p>
      <w:pPr>
        <w:spacing w:line="240" w:lineRule="auto"/>
        <w:ind w:left="210" w:right="210" w:firstLine="482" w:firstLineChars="200"/>
        <w:rPr>
          <w:rFonts w:ascii="仿宋_GB2312" w:hAnsi="宋体" w:eastAsia="仿宋_GB2312" w:cs="Times New Roman"/>
          <w:b/>
          <w:bCs w:val="0"/>
          <w:color w:val="auto"/>
          <w:sz w:val="24"/>
          <w:szCs w:val="24"/>
          <w:highlight w:val="none"/>
        </w:rPr>
      </w:pPr>
      <w:r>
        <w:rPr>
          <w:rFonts w:ascii="仿宋_GB2312" w:hAnsi="宋体" w:eastAsia="仿宋_GB2312" w:cs="Times New Roman"/>
          <w:b/>
          <w:bCs w:val="0"/>
          <w:color w:val="auto"/>
          <w:sz w:val="24"/>
          <w:szCs w:val="24"/>
          <w:highlight w:val="none"/>
        </w:rPr>
        <w:t>具有大学本科学历（或本科同等学力）</w:t>
      </w:r>
      <w:r>
        <w:rPr>
          <w:rFonts w:hint="eastAsia" w:ascii="仿宋_GB2312" w:hAnsi="宋体" w:eastAsia="仿宋_GB2312" w:cs="Times New Roman"/>
          <w:b/>
          <w:bCs w:val="0"/>
          <w:color w:val="auto"/>
          <w:sz w:val="24"/>
          <w:szCs w:val="24"/>
          <w:highlight w:val="none"/>
        </w:rPr>
        <w:t>人员。</w:t>
      </w:r>
    </w:p>
    <w:p>
      <w:pPr>
        <w:spacing w:line="240" w:lineRule="auto"/>
        <w:ind w:right="210"/>
        <w:outlineLvl w:val="0"/>
        <w:rPr>
          <w:rFonts w:ascii="黑体" w:hAnsi="黑体" w:eastAsia="黑体" w:cs="Times New Roman"/>
          <w:b/>
          <w:bCs w:val="0"/>
          <w:color w:val="auto"/>
          <w:kern w:val="0"/>
          <w:sz w:val="28"/>
          <w:szCs w:val="28"/>
          <w:highlight w:val="none"/>
        </w:rPr>
      </w:pPr>
      <w:r>
        <w:rPr>
          <w:rFonts w:hint="eastAsia" w:ascii="黑体" w:hAnsi="黑体" w:eastAsia="黑体" w:cs="Times New Roman"/>
          <w:b/>
          <w:bCs w:val="0"/>
          <w:color w:val="auto"/>
          <w:kern w:val="0"/>
          <w:sz w:val="28"/>
          <w:szCs w:val="28"/>
          <w:highlight w:val="none"/>
        </w:rPr>
        <w:t>四、</w:t>
      </w:r>
      <w:r>
        <w:rPr>
          <w:rFonts w:hint="eastAsia" w:ascii="黑体" w:hAnsi="黑体" w:eastAsia="黑体" w:cs="Times New Roman"/>
          <w:b/>
          <w:bCs w:val="0"/>
          <w:color w:val="auto"/>
          <w:kern w:val="0"/>
          <w:sz w:val="28"/>
          <w:szCs w:val="28"/>
          <w:highlight w:val="none"/>
          <w:lang w:val="en-US" w:eastAsia="zh-CN"/>
        </w:rPr>
        <w:t>领域</w:t>
      </w:r>
      <w:r>
        <w:rPr>
          <w:rFonts w:hint="eastAsia" w:ascii="黑体" w:hAnsi="黑体" w:eastAsia="黑体" w:cs="Times New Roman"/>
          <w:b/>
          <w:bCs w:val="0"/>
          <w:color w:val="auto"/>
          <w:kern w:val="0"/>
          <w:sz w:val="28"/>
          <w:szCs w:val="28"/>
          <w:highlight w:val="none"/>
        </w:rPr>
        <w:t>方向</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1．视觉设计与信息化研究方向</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宋体" w:eastAsia="仿宋_GB2312" w:cs="Times New Roman"/>
          <w:b/>
          <w:bCs w:val="0"/>
          <w:color w:val="auto"/>
          <w:sz w:val="24"/>
          <w:szCs w:val="24"/>
          <w:highlight w:val="none"/>
          <w:lang w:val="en-US" w:eastAsia="zh-CN"/>
        </w:rPr>
        <w:t>本专业方向主要培养学生将视觉信息快捷有效地传递给受众的方法和技巧。注重对视觉传达设计发展方向及前沿动态的研究，能较熟练地运用所学专业知识和技能解决视觉传达设计和数字媒体设计领域的实际问题，能从事视觉设计、数字媒体设计相关领域的高层次工作的复合型应用设计专门人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rPr>
        <w:t>2</w:t>
      </w:r>
      <w:r>
        <w:rPr>
          <w:rFonts w:hint="eastAsia"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eastAsia="zh-Hans"/>
        </w:rPr>
        <w:t xml:space="preserve"> </w:t>
      </w:r>
      <w:r>
        <w:rPr>
          <w:rFonts w:hint="eastAsia" w:ascii="仿宋_GB2312" w:hAnsi="宋体" w:eastAsia="仿宋_GB2312" w:cs="Times New Roman"/>
          <w:b/>
          <w:bCs w:val="0"/>
          <w:color w:val="auto"/>
          <w:sz w:val="24"/>
          <w:szCs w:val="24"/>
          <w:highlight w:val="none"/>
        </w:rPr>
        <w:t>环境与公共艺术设计研究方向</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本专业方向含及建筑装饰、室内空间、城市景观等相关行业领域。该方向的研究过程探究了“人与自然环境、人与人文社会环境”的各种关系。并在新技术、新业态、新模式、新产业为代表的新经济发展背景下，体现具有技术性、工程性和应用性的综合特质型艺术专业教育体系。为服务“中国制造2025”“一带一路”计划、“乡村振兴”等重大战略的实施培养适用于设计行业需求的专门人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eastAsia="zh-CN"/>
        </w:rPr>
        <w:t>3</w:t>
      </w:r>
      <w:r>
        <w:rPr>
          <w:rFonts w:hint="eastAsia"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eastAsia="zh-Hans"/>
        </w:rPr>
        <w:t xml:space="preserve"> </w:t>
      </w:r>
      <w:r>
        <w:rPr>
          <w:rFonts w:hint="eastAsia" w:ascii="仿宋_GB2312" w:hAnsi="宋体" w:eastAsia="仿宋_GB2312" w:cs="Times New Roman"/>
          <w:b/>
          <w:bCs w:val="0"/>
          <w:color w:val="auto"/>
          <w:sz w:val="24"/>
          <w:szCs w:val="24"/>
          <w:highlight w:val="none"/>
          <w:lang w:val="en-US" w:eastAsia="zh-CN"/>
        </w:rPr>
        <w:t>产品创新与文化创意研究方向</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本专业方向以培养面向未来产业格局的文化创新人才为目标，面对地方经济与文化产业转型升级的需求，建构具有传统与现代文化设计视野与创新能力，能够从事相关产品领域的设计与开发工作的</w:t>
      </w:r>
      <w:r>
        <w:rPr>
          <w:rFonts w:hint="eastAsia" w:ascii="仿宋_GB2312" w:hAnsi="宋体" w:eastAsia="仿宋_GB2312" w:cs="Times New Roman"/>
          <w:b/>
          <w:bCs w:val="0"/>
          <w:color w:val="auto"/>
          <w:sz w:val="24"/>
          <w:szCs w:val="24"/>
          <w:highlight w:val="none"/>
        </w:rPr>
        <w:t>复合型应用设计专门人才</w:t>
      </w:r>
      <w:r>
        <w:rPr>
          <w:rFonts w:hint="eastAsia" w:ascii="仿宋_GB2312" w:hAnsi="宋体" w:eastAsia="仿宋_GB2312" w:cs="Times New Roman"/>
          <w:b/>
          <w:bCs w:val="0"/>
          <w:color w:val="auto"/>
          <w:sz w:val="24"/>
          <w:szCs w:val="24"/>
          <w:highlight w:val="none"/>
          <w:lang w:eastAsia="zh-CN"/>
        </w:rPr>
        <w:t>，</w:t>
      </w:r>
      <w:r>
        <w:rPr>
          <w:rFonts w:hint="eastAsia" w:ascii="仿宋_GB2312" w:hAnsi="宋体" w:eastAsia="仿宋_GB2312" w:cs="Times New Roman"/>
          <w:b/>
          <w:bCs w:val="0"/>
          <w:color w:val="auto"/>
          <w:sz w:val="24"/>
          <w:szCs w:val="24"/>
          <w:highlight w:val="none"/>
          <w:lang w:val="en-US" w:eastAsia="zh-CN"/>
        </w:rPr>
        <w:t>传承并创新发展中国传统文化和传统工艺。</w:t>
      </w:r>
    </w:p>
    <w:p>
      <w:pPr>
        <w:spacing w:line="240" w:lineRule="auto"/>
        <w:ind w:right="210"/>
        <w:outlineLvl w:val="0"/>
        <w:rPr>
          <w:rFonts w:ascii="黑体" w:hAnsi="黑体" w:eastAsia="黑体" w:cs="Times New Roman"/>
          <w:b/>
          <w:bCs w:val="0"/>
          <w:color w:val="auto"/>
          <w:kern w:val="0"/>
          <w:sz w:val="28"/>
          <w:szCs w:val="28"/>
          <w:highlight w:val="none"/>
        </w:rPr>
      </w:pPr>
      <w:r>
        <w:rPr>
          <w:rFonts w:hint="eastAsia" w:ascii="黑体" w:hAnsi="黑体" w:eastAsia="黑体" w:cs="Times New Roman"/>
          <w:b/>
          <w:bCs w:val="0"/>
          <w:color w:val="auto"/>
          <w:kern w:val="0"/>
          <w:sz w:val="28"/>
          <w:szCs w:val="28"/>
          <w:highlight w:val="none"/>
        </w:rPr>
        <w:t>五、学习方式及年限</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default" w:ascii="仿宋_GB2312" w:hAnsi="宋体" w:eastAsia="仿宋_GB2312" w:cs="Times New Roman"/>
          <w:b/>
          <w:bCs w:val="0"/>
          <w:color w:val="auto"/>
          <w:sz w:val="24"/>
          <w:szCs w:val="24"/>
          <w:highlight w:val="none"/>
          <w:lang w:val="en-US" w:eastAsia="zh-CN"/>
        </w:rPr>
        <w:t>1</w:t>
      </w:r>
      <w:r>
        <w:rPr>
          <w:rFonts w:hint="eastAsia" w:ascii="仿宋_GB2312" w:hAnsi="宋体" w:eastAsia="仿宋_GB2312" w:cs="Times New Roman"/>
          <w:b/>
          <w:bCs w:val="0"/>
          <w:color w:val="auto"/>
          <w:sz w:val="24"/>
          <w:szCs w:val="24"/>
          <w:highlight w:val="none"/>
          <w:lang w:val="en-US" w:eastAsia="zh-CN"/>
        </w:rPr>
        <w:t>．</w:t>
      </w:r>
      <w:r>
        <w:rPr>
          <w:rFonts w:hint="default" w:ascii="仿宋_GB2312" w:hAnsi="宋体" w:eastAsia="仿宋_GB2312" w:cs="Times New Roman"/>
          <w:b/>
          <w:bCs w:val="0"/>
          <w:color w:val="auto"/>
          <w:sz w:val="24"/>
          <w:szCs w:val="24"/>
          <w:highlight w:val="none"/>
          <w:lang w:val="en-US" w:eastAsia="zh-CN"/>
        </w:rPr>
        <w:t>采用全日制学习方式，学制为</w:t>
      </w:r>
      <w:r>
        <w:rPr>
          <w:rFonts w:hint="eastAsia" w:ascii="仿宋_GB2312" w:hAnsi="宋体" w:eastAsia="仿宋_GB2312" w:cs="Times New Roman"/>
          <w:b/>
          <w:bCs w:val="0"/>
          <w:color w:val="auto"/>
          <w:sz w:val="24"/>
          <w:szCs w:val="24"/>
          <w:highlight w:val="none"/>
          <w:lang w:val="en-US" w:eastAsia="zh-CN"/>
        </w:rPr>
        <w:t>三</w:t>
      </w:r>
      <w:r>
        <w:rPr>
          <w:rFonts w:hint="default" w:ascii="仿宋_GB2312" w:hAnsi="宋体" w:eastAsia="仿宋_GB2312" w:cs="Times New Roman"/>
          <w:b/>
          <w:bCs w:val="0"/>
          <w:color w:val="auto"/>
          <w:sz w:val="24"/>
          <w:szCs w:val="24"/>
          <w:highlight w:val="none"/>
          <w:lang w:val="en-US" w:eastAsia="zh-CN"/>
        </w:rPr>
        <w:t>年。</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default" w:ascii="仿宋_GB2312" w:hAnsi="宋体" w:eastAsia="仿宋_GB2312" w:cs="Times New Roman"/>
          <w:b/>
          <w:bCs w:val="0"/>
          <w:color w:val="auto"/>
          <w:sz w:val="24"/>
          <w:szCs w:val="24"/>
          <w:highlight w:val="none"/>
          <w:lang w:val="en-US" w:eastAsia="zh-CN"/>
        </w:rPr>
        <w:t>2</w:t>
      </w:r>
      <w:r>
        <w:rPr>
          <w:rFonts w:hint="eastAsia" w:ascii="仿宋_GB2312" w:hAnsi="宋体" w:eastAsia="仿宋_GB2312" w:cs="Times New Roman"/>
          <w:b/>
          <w:bCs w:val="0"/>
          <w:color w:val="auto"/>
          <w:sz w:val="24"/>
          <w:szCs w:val="24"/>
          <w:highlight w:val="none"/>
          <w:lang w:val="en-US" w:eastAsia="zh-CN"/>
        </w:rPr>
        <w:t>．</w:t>
      </w:r>
      <w:r>
        <w:rPr>
          <w:rFonts w:hint="default" w:ascii="仿宋_GB2312" w:hAnsi="宋体" w:eastAsia="仿宋_GB2312" w:cs="Times New Roman"/>
          <w:b/>
          <w:bCs w:val="0"/>
          <w:color w:val="auto"/>
          <w:sz w:val="24"/>
          <w:szCs w:val="24"/>
          <w:highlight w:val="none"/>
          <w:lang w:val="en-US" w:eastAsia="zh-CN"/>
        </w:rPr>
        <w:t>第</w:t>
      </w:r>
      <w:r>
        <w:rPr>
          <w:rFonts w:hint="eastAsia" w:ascii="仿宋_GB2312" w:hAnsi="宋体" w:eastAsia="仿宋_GB2312" w:cs="Times New Roman"/>
          <w:b/>
          <w:bCs w:val="0"/>
          <w:color w:val="auto"/>
          <w:sz w:val="24"/>
          <w:szCs w:val="24"/>
          <w:highlight w:val="none"/>
          <w:lang w:val="en-US" w:eastAsia="zh-CN"/>
        </w:rPr>
        <w:t>一、第二学</w:t>
      </w:r>
      <w:r>
        <w:rPr>
          <w:rFonts w:hint="default" w:ascii="仿宋_GB2312" w:hAnsi="宋体" w:eastAsia="仿宋_GB2312" w:cs="Times New Roman"/>
          <w:b/>
          <w:bCs w:val="0"/>
          <w:color w:val="auto"/>
          <w:sz w:val="24"/>
          <w:szCs w:val="24"/>
          <w:highlight w:val="none"/>
          <w:lang w:val="en-US" w:eastAsia="zh-CN"/>
        </w:rPr>
        <w:t>年学习</w:t>
      </w:r>
      <w:r>
        <w:rPr>
          <w:rFonts w:hint="eastAsia" w:ascii="仿宋_GB2312" w:hAnsi="宋体" w:eastAsia="仿宋_GB2312" w:cs="Times New Roman"/>
          <w:b/>
          <w:bCs w:val="0"/>
          <w:color w:val="auto"/>
          <w:sz w:val="24"/>
          <w:szCs w:val="24"/>
          <w:highlight w:val="none"/>
          <w:lang w:val="en-US" w:eastAsia="zh-CN"/>
        </w:rPr>
        <w:t>专业</w:t>
      </w:r>
      <w:r>
        <w:rPr>
          <w:rFonts w:hint="default" w:ascii="仿宋_GB2312" w:hAnsi="宋体" w:eastAsia="仿宋_GB2312" w:cs="Times New Roman"/>
          <w:b/>
          <w:bCs w:val="0"/>
          <w:color w:val="auto"/>
          <w:sz w:val="24"/>
          <w:szCs w:val="24"/>
          <w:highlight w:val="none"/>
          <w:lang w:val="en-US" w:eastAsia="zh-CN"/>
        </w:rPr>
        <w:t>理论课程</w:t>
      </w:r>
      <w:r>
        <w:rPr>
          <w:rFonts w:hint="eastAsia" w:ascii="仿宋_GB2312" w:hAnsi="宋体" w:eastAsia="仿宋_GB2312" w:cs="Times New Roman"/>
          <w:b/>
          <w:bCs w:val="0"/>
          <w:color w:val="auto"/>
          <w:sz w:val="24"/>
          <w:szCs w:val="24"/>
          <w:highlight w:val="none"/>
          <w:lang w:val="en-US" w:eastAsia="zh-CN"/>
        </w:rPr>
        <w:t>和专业实践课程</w:t>
      </w:r>
      <w:r>
        <w:rPr>
          <w:rFonts w:hint="default" w:ascii="仿宋_GB2312" w:hAnsi="宋体" w:eastAsia="仿宋_GB2312" w:cs="Times New Roman"/>
          <w:b/>
          <w:bCs w:val="0"/>
          <w:color w:val="auto"/>
          <w:sz w:val="24"/>
          <w:szCs w:val="24"/>
          <w:highlight w:val="none"/>
          <w:lang w:val="en-US" w:eastAsia="zh-CN"/>
        </w:rPr>
        <w:t>，修满规定的学分，在第</w:t>
      </w:r>
      <w:r>
        <w:rPr>
          <w:rFonts w:hint="eastAsia" w:ascii="仿宋_GB2312" w:hAnsi="宋体" w:eastAsia="仿宋_GB2312" w:cs="Times New Roman"/>
          <w:b/>
          <w:bCs w:val="0"/>
          <w:color w:val="auto"/>
          <w:sz w:val="24"/>
          <w:szCs w:val="24"/>
          <w:highlight w:val="none"/>
          <w:lang w:val="en-US" w:eastAsia="zh-CN"/>
        </w:rPr>
        <w:t>二</w:t>
      </w:r>
      <w:r>
        <w:rPr>
          <w:rFonts w:hint="default" w:ascii="仿宋_GB2312" w:hAnsi="宋体" w:eastAsia="仿宋_GB2312" w:cs="Times New Roman"/>
          <w:b/>
          <w:bCs w:val="0"/>
          <w:color w:val="auto"/>
          <w:sz w:val="24"/>
          <w:szCs w:val="24"/>
          <w:highlight w:val="none"/>
          <w:lang w:val="en-US" w:eastAsia="zh-CN"/>
        </w:rPr>
        <w:t>年后进行专业艺术设计实践，</w:t>
      </w:r>
      <w:r>
        <w:rPr>
          <w:rFonts w:hint="eastAsia" w:ascii="仿宋_GB2312" w:hAnsi="宋体" w:eastAsia="仿宋_GB2312" w:cs="Times New Roman"/>
          <w:b/>
          <w:bCs w:val="0"/>
          <w:color w:val="auto"/>
          <w:sz w:val="24"/>
          <w:szCs w:val="24"/>
          <w:highlight w:val="none"/>
          <w:lang w:val="en-US" w:eastAsia="zh-CN"/>
        </w:rPr>
        <w:t>参加艺术展览，</w:t>
      </w:r>
      <w:r>
        <w:rPr>
          <w:rFonts w:hint="default" w:ascii="仿宋_GB2312" w:hAnsi="宋体" w:eastAsia="仿宋_GB2312" w:cs="Times New Roman"/>
          <w:b/>
          <w:bCs w:val="0"/>
          <w:color w:val="auto"/>
          <w:sz w:val="24"/>
          <w:szCs w:val="24"/>
          <w:highlight w:val="none"/>
          <w:lang w:val="en-US" w:eastAsia="zh-CN"/>
        </w:rPr>
        <w:t>完成学位论文</w:t>
      </w:r>
      <w:r>
        <w:rPr>
          <w:rFonts w:hint="eastAsia" w:ascii="仿宋_GB2312" w:hAnsi="宋体" w:eastAsia="仿宋_GB2312" w:cs="Times New Roman"/>
          <w:b/>
          <w:bCs w:val="0"/>
          <w:color w:val="auto"/>
          <w:sz w:val="24"/>
          <w:szCs w:val="24"/>
          <w:highlight w:val="none"/>
          <w:lang w:val="en-US" w:eastAsia="zh-CN"/>
        </w:rPr>
        <w:t>，</w:t>
      </w:r>
      <w:r>
        <w:rPr>
          <w:rFonts w:hint="default" w:ascii="仿宋_GB2312" w:hAnsi="宋体" w:eastAsia="仿宋_GB2312" w:cs="Times New Roman"/>
          <w:b/>
          <w:bCs w:val="0"/>
          <w:color w:val="auto"/>
          <w:sz w:val="24"/>
          <w:szCs w:val="24"/>
          <w:highlight w:val="none"/>
          <w:lang w:val="en-US" w:eastAsia="zh-CN"/>
        </w:rPr>
        <w:t>结合专业实践成果参加毕业考核，毕业考核包含设计实践展示和学位论文答辩。</w:t>
      </w:r>
    </w:p>
    <w:p>
      <w:pPr>
        <w:spacing w:line="240" w:lineRule="auto"/>
        <w:ind w:right="210"/>
        <w:outlineLvl w:val="0"/>
        <w:rPr>
          <w:rFonts w:ascii="黑体" w:hAnsi="黑体" w:eastAsia="黑体" w:cs="Times New Roman"/>
          <w:b/>
          <w:bCs w:val="0"/>
          <w:color w:val="auto"/>
          <w:kern w:val="0"/>
          <w:sz w:val="28"/>
          <w:szCs w:val="28"/>
          <w:highlight w:val="none"/>
        </w:rPr>
      </w:pPr>
      <w:r>
        <w:rPr>
          <w:rFonts w:hint="eastAsia" w:ascii="黑体" w:hAnsi="黑体" w:eastAsia="黑体" w:cs="Times New Roman"/>
          <w:b/>
          <w:bCs w:val="0"/>
          <w:color w:val="auto"/>
          <w:kern w:val="0"/>
          <w:sz w:val="28"/>
          <w:szCs w:val="28"/>
          <w:highlight w:val="none"/>
        </w:rPr>
        <w:t>六</w:t>
      </w:r>
      <w:r>
        <w:rPr>
          <w:rFonts w:ascii="黑体" w:hAnsi="黑体" w:eastAsia="黑体" w:cs="Times New Roman"/>
          <w:b/>
          <w:bCs w:val="0"/>
          <w:color w:val="auto"/>
          <w:kern w:val="0"/>
          <w:sz w:val="28"/>
          <w:szCs w:val="28"/>
          <w:highlight w:val="none"/>
        </w:rPr>
        <w:t>、培养方式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1．实行导师负责制及导师指导集体培养相结合的方法。导师根据培养方案的要求和因材施教的原则，从学生的实际情况出发，制订出针对研究生个人的培养计划报主管部门备案。主管部门按照培养方案的有关要求，定期检查培养计划的执行情况。</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2．实行校内校外双导师制，采取校内导师和企（行）业导师相结合、单独指导和集体指导相结合、教师面授、学生自学、共同讨论和设计实践相结合的培养方式。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3．导师要坚持教书育人、立德树人，要按培养计划的内容制定每学期的学习计划，学生撰写周</w:t>
      </w:r>
      <w:r>
        <w:rPr>
          <w:rFonts w:hint="eastAsia" w:ascii="仿宋_GB2312" w:hAnsi="宋体" w:eastAsia="仿宋_GB2312" w:cs="Times New Roman"/>
          <w:b/>
          <w:bCs w:val="0"/>
          <w:color w:val="auto"/>
          <w:sz w:val="24"/>
          <w:szCs w:val="24"/>
          <w:highlight w:val="none"/>
          <w:lang w:val="en-US" w:eastAsia="zh-Hans"/>
        </w:rPr>
        <w:t>记</w:t>
      </w:r>
      <w:r>
        <w:rPr>
          <w:rFonts w:hint="eastAsia" w:ascii="仿宋_GB2312" w:hAnsi="宋体" w:eastAsia="仿宋_GB2312" w:cs="Times New Roman"/>
          <w:b/>
          <w:bCs w:val="0"/>
          <w:color w:val="auto"/>
          <w:sz w:val="24"/>
          <w:szCs w:val="24"/>
          <w:highlight w:val="none"/>
          <w:lang w:val="en-US" w:eastAsia="zh-CN"/>
        </w:rPr>
        <w:t>，导师定期审阅。</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4．专业课程学习与艺术设计实践紧密结合，吸收不同学科领域的专家、学者和实践领域有丰富经验的专业人员，共同承担研究生的培养工作。注重培养实践研究和创新能力，增长实际工作经验，缩短就业适应期限，提高专业素养和就业创业能力。</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5．授课教师对所开设课程精心准备，对学生的作业和作品严格要求。无论以何种形式授课，课程结束时均须按规定进行认真的考核并评定成绩。考核分为考试和考查两种形式。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6．学院建立健全本学科研究生管理制度，合理安排教学计划和其他各项活动，加强研究生的思想政治教育，要求研究生学好政治理论课，积极参加政治学习和公益劳动等活动，培养研究生理论联系实际的精神和严谨的治学态度。</w:t>
      </w:r>
    </w:p>
    <w:p>
      <w:pPr>
        <w:spacing w:line="240" w:lineRule="auto"/>
        <w:ind w:right="210"/>
        <w:outlineLvl w:val="0"/>
        <w:rPr>
          <w:rFonts w:hint="eastAsia" w:ascii="黑体" w:hAnsi="黑体" w:eastAsia="黑体" w:cs="Times New Roman"/>
          <w:b/>
          <w:bCs w:val="0"/>
          <w:color w:val="auto"/>
          <w:kern w:val="0"/>
          <w:sz w:val="28"/>
          <w:szCs w:val="28"/>
          <w:highlight w:val="none"/>
          <w:lang w:eastAsia="zh-CN"/>
        </w:rPr>
      </w:pPr>
      <w:r>
        <w:rPr>
          <w:rFonts w:hint="eastAsia" w:ascii="黑体" w:hAnsi="黑体" w:eastAsia="黑体" w:cs="Times New Roman"/>
          <w:b/>
          <w:bCs w:val="0"/>
          <w:color w:val="auto"/>
          <w:kern w:val="0"/>
          <w:sz w:val="28"/>
          <w:szCs w:val="28"/>
          <w:highlight w:val="none"/>
        </w:rPr>
        <w:t>七</w:t>
      </w:r>
      <w:r>
        <w:rPr>
          <w:rFonts w:ascii="黑体" w:hAnsi="黑体" w:eastAsia="黑体" w:cs="Times New Roman"/>
          <w:b/>
          <w:bCs w:val="0"/>
          <w:color w:val="auto"/>
          <w:kern w:val="0"/>
          <w:sz w:val="28"/>
          <w:szCs w:val="28"/>
          <w:highlight w:val="none"/>
        </w:rPr>
        <w:t>、课程设置</w:t>
      </w:r>
      <w:r>
        <w:rPr>
          <w:rFonts w:hint="eastAsia" w:ascii="黑体" w:hAnsi="黑体" w:eastAsia="黑体" w:cs="Times New Roman"/>
          <w:b/>
          <w:bCs w:val="0"/>
          <w:color w:val="auto"/>
          <w:kern w:val="0"/>
          <w:sz w:val="28"/>
          <w:szCs w:val="28"/>
          <w:highlight w:val="none"/>
          <w:lang w:eastAsia="zh-CN"/>
        </w:rPr>
        <w:t>与学分</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1．课程设置分为必修课、选修课和必修环节三个部分，其中必修课包括公共必修课、专业必修课，必修环节包括培养环节和集中性实践环节。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公共必修课着重于提高研究生的综合素质，拓展专业视野，掌握专业实践研究的基本思路和方法，提升作品鉴赏能力。专业必修课着重于提高研究生专业技能水平，加深、拓宽研究生的专业知识，提高研究生的综合艺术修养以及在作品创意表达和风格呈现方面的综合能力。专业选修课内容广泛、形式多样，为学生的个性化培养和跨专业选择提供空间，有利于增强学生适应社会的能力。必修环节中的培养环节着重于指导研究生进行开题报告的撰写，中期作品的报告，毕业作品的汇报展和各类自主学习活动等；集中性实践环节着重于指导研究</w:t>
      </w:r>
      <w:r>
        <w:rPr>
          <w:rFonts w:hint="eastAsia" w:ascii="仿宋_GB2312" w:hAnsi="宋体" w:eastAsia="仿宋_GB2312" w:cs="Times New Roman"/>
          <w:b/>
          <w:bCs w:val="0"/>
          <w:color w:val="auto"/>
          <w:sz w:val="24"/>
          <w:szCs w:val="24"/>
          <w:highlight w:val="none"/>
          <w:lang w:val="en-US" w:eastAsia="zh-Hans"/>
        </w:rPr>
        <w:t>生</w:t>
      </w:r>
      <w:r>
        <w:rPr>
          <w:rFonts w:hint="eastAsia" w:ascii="仿宋_GB2312" w:hAnsi="宋体" w:eastAsia="仿宋_GB2312" w:cs="Times New Roman"/>
          <w:b/>
          <w:bCs w:val="0"/>
          <w:color w:val="auto"/>
          <w:sz w:val="24"/>
          <w:szCs w:val="24"/>
          <w:highlight w:val="none"/>
          <w:lang w:val="en-US" w:eastAsia="zh-CN"/>
        </w:rPr>
        <w:t>进行专业考察，设计专业实践，设计</w:t>
      </w:r>
      <w:r>
        <w:rPr>
          <w:rFonts w:hint="eastAsia" w:ascii="仿宋_GB2312" w:hAnsi="宋体" w:eastAsia="仿宋_GB2312" w:cs="Times New Roman"/>
          <w:b/>
          <w:bCs w:val="0"/>
          <w:color w:val="auto"/>
          <w:sz w:val="24"/>
          <w:szCs w:val="24"/>
          <w:highlight w:val="none"/>
          <w:lang w:val="en-US" w:eastAsia="zh-Hans"/>
        </w:rPr>
        <w:t>调研</w:t>
      </w:r>
      <w:r>
        <w:rPr>
          <w:rFonts w:hint="eastAsia" w:ascii="仿宋_GB2312" w:hAnsi="宋体" w:eastAsia="仿宋_GB2312" w:cs="Times New Roman"/>
          <w:b/>
          <w:bCs w:val="0"/>
          <w:color w:val="auto"/>
          <w:sz w:val="24"/>
          <w:szCs w:val="24"/>
          <w:highlight w:val="none"/>
          <w:lang w:val="en-US" w:eastAsia="zh-CN"/>
        </w:rPr>
        <w:t>和设计实习等，培养研究生开阔艺术眼界，了解艺术前沿，综合运用专业知识和技能进行设计实践的能力。</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2．课程设置总学分57学分。其构成是：公共必修课9学分，专业必修课40学分，选修课学分不少于8学分。所有</w:t>
      </w:r>
      <w:r>
        <w:rPr>
          <w:rFonts w:hint="eastAsia" w:ascii="仿宋_GB2312" w:hAnsi="宋体" w:eastAsia="仿宋_GB2312" w:cs="Times New Roman"/>
          <w:b/>
          <w:bCs w:val="0"/>
          <w:color w:val="auto"/>
          <w:sz w:val="24"/>
          <w:szCs w:val="24"/>
          <w:highlight w:val="none"/>
          <w:lang w:val="en-US" w:eastAsia="zh-Hans"/>
        </w:rPr>
        <w:t>必修</w:t>
      </w:r>
      <w:r>
        <w:rPr>
          <w:rFonts w:hint="eastAsia" w:ascii="仿宋_GB2312" w:hAnsi="宋体" w:eastAsia="仿宋_GB2312" w:cs="Times New Roman"/>
          <w:b/>
          <w:bCs w:val="0"/>
          <w:color w:val="auto"/>
          <w:sz w:val="24"/>
          <w:szCs w:val="24"/>
          <w:highlight w:val="none"/>
          <w:lang w:val="en-US" w:eastAsia="zh-CN"/>
        </w:rPr>
        <w:t>课程均制定教学大纲，课程教学大纲包括课程教学目标、课程内容、主要授课形式、考核形式及要求、参考书目等。</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3．艺术设计领域艺术硕士研究生课程设置，详见表《艺术设计领域艺术硕士研究生课程设置》（附件1、附件2、附件3）。</w:t>
      </w:r>
    </w:p>
    <w:p>
      <w:pPr>
        <w:shd w:val="clear" w:color="auto" w:fill="FFFFFF"/>
        <w:spacing w:line="240" w:lineRule="auto"/>
        <w:outlineLvl w:val="0"/>
        <w:rPr>
          <w:rFonts w:ascii="微软雅黑" w:hAnsi="微软雅黑" w:cs="宋体"/>
          <w:b/>
          <w:bCs w:val="0"/>
          <w:color w:val="auto"/>
          <w:szCs w:val="21"/>
          <w:highlight w:val="none"/>
        </w:rPr>
      </w:pPr>
      <w:r>
        <w:rPr>
          <w:rFonts w:hint="eastAsia" w:ascii="黑体" w:hAnsi="黑体" w:eastAsia="黑体" w:cs="Times New Roman"/>
          <w:b/>
          <w:bCs w:val="0"/>
          <w:color w:val="auto"/>
          <w:kern w:val="0"/>
          <w:sz w:val="28"/>
          <w:szCs w:val="28"/>
          <w:highlight w:val="none"/>
        </w:rPr>
        <w:t>八</w:t>
      </w:r>
      <w:r>
        <w:rPr>
          <w:rFonts w:ascii="黑体" w:hAnsi="黑体" w:eastAsia="黑体" w:cs="Times New Roman"/>
          <w:b/>
          <w:bCs w:val="0"/>
          <w:color w:val="auto"/>
          <w:kern w:val="0"/>
          <w:sz w:val="28"/>
          <w:szCs w:val="28"/>
          <w:highlight w:val="none"/>
        </w:rPr>
        <w:t>、</w:t>
      </w:r>
      <w:r>
        <w:rPr>
          <w:rFonts w:hint="eastAsia" w:ascii="黑体" w:hAnsi="黑体" w:eastAsia="黑体"/>
          <w:b/>
          <w:bCs w:val="0"/>
          <w:color w:val="auto"/>
          <w:sz w:val="28"/>
          <w:szCs w:val="28"/>
          <w:highlight w:val="none"/>
        </w:rPr>
        <w:t>实践环节与培养环节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1．专业考察：需由专业教师带队完成设计领域专业考察，考察时间不少于2周，结束后需撰写考察报告，由专业教师负责考核。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2．设计</w:t>
      </w:r>
      <w:r>
        <w:rPr>
          <w:rFonts w:hint="eastAsia" w:ascii="仿宋_GB2312" w:hAnsi="宋体" w:eastAsia="仿宋_GB2312" w:cs="Times New Roman"/>
          <w:b/>
          <w:bCs w:val="0"/>
          <w:color w:val="auto"/>
          <w:sz w:val="24"/>
          <w:szCs w:val="24"/>
          <w:highlight w:val="none"/>
          <w:lang w:val="en-US" w:eastAsia="zh-Hans"/>
        </w:rPr>
        <w:t>调研</w:t>
      </w:r>
      <w:r>
        <w:rPr>
          <w:rFonts w:hint="eastAsia" w:ascii="仿宋_GB2312" w:hAnsi="宋体" w:eastAsia="仿宋_GB2312" w:cs="Times New Roman"/>
          <w:b/>
          <w:bCs w:val="0"/>
          <w:color w:val="auto"/>
          <w:sz w:val="24"/>
          <w:szCs w:val="24"/>
          <w:highlight w:val="none"/>
          <w:lang w:val="en-US" w:eastAsia="zh-CN"/>
        </w:rPr>
        <w:t>：由校内导师或校外导师指导完成设计调研，时间不少于4周，由校内或校外导师负责考核。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3．设计专业实践：需由专业教师带队完成设计领域艺术实践，实践时间不少于10周。项目启动、设计调研、设计策划、设计创意、设计表现、设计实施以及项目结项为主要内容，设计专业实践结束后应参加设计展，由校内外导师联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4．设计实习：需在第6学期参加设计实习提高专业实践能力，实习时间不少于10周，可采用集中实践与分段实践相结合的方式；实习内容由校外导师决定，结束后需撰写实习报告；设计实习由校内外双方导师联合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5．文献综述：要求在对本专业领域的文献进行广泛阅读和理解的基础上，对该专业领域的研究现状(包括主要学术观点、前人研究成果和研究水平、争论焦点、存在的问题及可能的原因等)、新水平、新动态、新技术和新发现、发展前景等内容进行综合分析、归纳整理和评论，并提出自己的见解和研究思路。专业文献综述不得少于0.5万字。文献综述应于学位论文开题前由导师考核通过，不合格者不得进入学位论文开题环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6．开题报告：按《东华理工大学大学硕士学位论文开题报告的要求及考核办法》进行，开题报告需经学院组织开题报告会审核通过。</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7．中期报告：按《东华理工大学研究生中期考核实施办法》进行，重点汇报前期课程学习及实践成果，由设计领域导师组负责考核。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8．毕业作品汇报展：选题应符合专业方向，独立、原创完成设计作品，参加毕业作品汇报展。由设计领域导师组负责考核。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ascii="仿宋_GB2312" w:hAnsi="宋体" w:eastAsia="仿宋_GB2312" w:cs="Times New Roman"/>
          <w:b/>
          <w:bCs w:val="0"/>
          <w:color w:val="auto"/>
          <w:sz w:val="24"/>
          <w:szCs w:val="24"/>
          <w:highlight w:val="none"/>
        </w:rPr>
      </w:pPr>
      <w:r>
        <w:rPr>
          <w:rFonts w:hint="eastAsia" w:ascii="仿宋_GB2312" w:hAnsi="宋体" w:eastAsia="仿宋_GB2312" w:cs="Times New Roman"/>
          <w:b/>
          <w:bCs w:val="0"/>
          <w:color w:val="auto"/>
          <w:sz w:val="24"/>
          <w:szCs w:val="24"/>
          <w:highlight w:val="none"/>
          <w:lang w:val="en-US" w:eastAsia="zh-CN"/>
        </w:rPr>
        <w:t>9．学术活动：学生在校期间必须参加6次学术活动，可以是听学术讲座，也可以是参加展演活动。</w:t>
      </w:r>
    </w:p>
    <w:p>
      <w:pPr>
        <w:spacing w:line="240" w:lineRule="auto"/>
        <w:ind w:right="210"/>
        <w:outlineLvl w:val="0"/>
        <w:rPr>
          <w:rFonts w:ascii="仿宋_GB2312" w:hAnsi="宋体" w:eastAsia="仿宋_GB2312" w:cs="Times New Roman"/>
          <w:b/>
          <w:bCs w:val="0"/>
          <w:color w:val="auto"/>
          <w:sz w:val="24"/>
          <w:szCs w:val="24"/>
          <w:highlight w:val="none"/>
        </w:rPr>
      </w:pPr>
      <w:r>
        <w:rPr>
          <w:rFonts w:hint="eastAsia" w:ascii="黑体" w:hAnsi="黑体" w:eastAsia="黑体" w:cs="Times New Roman"/>
          <w:b/>
          <w:bCs w:val="0"/>
          <w:color w:val="auto"/>
          <w:kern w:val="0"/>
          <w:sz w:val="28"/>
          <w:szCs w:val="28"/>
          <w:highlight w:val="none"/>
        </w:rPr>
        <w:t>九</w:t>
      </w:r>
      <w:r>
        <w:rPr>
          <w:rFonts w:ascii="黑体" w:hAnsi="黑体" w:eastAsia="黑体" w:cs="Times New Roman"/>
          <w:b/>
          <w:bCs w:val="0"/>
          <w:color w:val="auto"/>
          <w:kern w:val="0"/>
          <w:sz w:val="28"/>
          <w:szCs w:val="28"/>
          <w:highlight w:val="none"/>
        </w:rPr>
        <w:t>、</w:t>
      </w:r>
      <w:r>
        <w:rPr>
          <w:rFonts w:hint="eastAsia" w:ascii="黑体" w:hAnsi="黑体" w:eastAsia="黑体" w:cs="Times New Roman"/>
          <w:b/>
          <w:bCs w:val="0"/>
          <w:color w:val="auto"/>
          <w:kern w:val="0"/>
          <w:sz w:val="28"/>
          <w:szCs w:val="28"/>
          <w:highlight w:val="none"/>
        </w:rPr>
        <w:t>毕业考核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本领域艺术硕士专业学位申请者，必须修完规定课程和获得规定学分的同时完成专业实践环节和培养环节后进入毕业考核。毕业考核由专业实践能力展示和专业学位论文答辩两部分组成。专业实践能力展示体现申请人的专业技能水平，专业学位论文答辩体现申请人对应用专业技能所表现出的综合素质和理论阐述能力。专业实践能力展示和专业学位论文答辩采取公开进行方式实施，均须达到合格标准。毕业考核总成绩计算方法为：专业实践能力展示占70%、专业学位论文答辩占30%。</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(一）专业实践能力展示要求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根据毕业选题进行毕业设计创作，参加毕业作品汇报展，展示独立原创的设计作品实物,必须符合毕业展览要求：视传类完成整套毕业设计及各类图纸，原则上提供完整真实的视觉设计与信息化设计动态影像；数媒类不少于15分钟的动态影像作品；环艺类完成整套毕业设计及各类图纸，原则上提供完整真实的沙盘模型或漫游动画；产品类完成整套毕业设计及各类图纸，原则上提供完整真实的效果模型。具体要求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1．作品要求体现一定的创新意识和应用价值，反映出研究生良好的专业理解力、驾驭力和想象力，符合选题内容，体现出设计理念、设计过程和一定的工作量。</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2．作品保证原创性及数量质量，以设计作品展的形式进行公开展示。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3．作品的内容形式要求完整、系统、能够体现本专业研究方向教学的设计艺术水准和学生较强的专业实践能力。</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4．展示作品要求组织专家组3-5人进行评分，成绩按百分制计分。</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5．专业实践能力展示评价结果分为：优秀、良好、合格、不合格四种。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优秀</w:t>
      </w:r>
      <w:r>
        <w:rPr>
          <w:rFonts w:hint="default" w:ascii="仿宋_GB2312" w:hAnsi="宋体" w:eastAsia="仿宋_GB2312" w:cs="Times New Roman"/>
          <w:b/>
          <w:bCs w:val="0"/>
          <w:color w:val="auto"/>
          <w:sz w:val="24"/>
          <w:szCs w:val="24"/>
          <w:highlight w:val="none"/>
          <w:lang w:val="en-US" w:eastAsia="zh-Hans"/>
        </w:rPr>
        <w:t>：85</w:t>
      </w:r>
      <w:r>
        <w:rPr>
          <w:rFonts w:hint="eastAsia" w:ascii="仿宋_GB2312" w:hAnsi="宋体" w:eastAsia="仿宋_GB2312" w:cs="Times New Roman"/>
          <w:b/>
          <w:bCs w:val="0"/>
          <w:color w:val="auto"/>
          <w:sz w:val="24"/>
          <w:szCs w:val="24"/>
          <w:highlight w:val="none"/>
          <w:lang w:val="en-US" w:eastAsia="zh-Hans"/>
        </w:rPr>
        <w:t>分以上</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85</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良好</w:t>
      </w:r>
      <w:r>
        <w:rPr>
          <w:rFonts w:hint="default" w:ascii="仿宋_GB2312" w:hAnsi="宋体" w:eastAsia="仿宋_GB2312" w:cs="Times New Roman"/>
          <w:b/>
          <w:bCs w:val="0"/>
          <w:color w:val="auto"/>
          <w:sz w:val="24"/>
          <w:szCs w:val="24"/>
          <w:highlight w:val="none"/>
          <w:lang w:val="en-US" w:eastAsia="zh-Hans"/>
        </w:rPr>
        <w:t>：84</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合格</w:t>
      </w:r>
      <w:r>
        <w:rPr>
          <w:rFonts w:hint="default" w:ascii="仿宋_GB2312" w:hAnsi="宋体" w:eastAsia="仿宋_GB2312" w:cs="Times New Roman"/>
          <w:b/>
          <w:bCs w:val="0"/>
          <w:color w:val="auto"/>
          <w:sz w:val="24"/>
          <w:szCs w:val="24"/>
          <w:highlight w:val="none"/>
          <w:lang w:val="en-US" w:eastAsia="zh-Hans"/>
        </w:rPr>
        <w:t>：69</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不合格</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分以下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（二）专业学位论文要求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专业学位论文具体要求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1．专业学位论文与毕业设计内容相结合，专业学位论文的篇幅字数不少于2万字，核心部分字数不少于1万字（不含谱例、图表）。</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2．专业学位论文中的设计作品阐述要紧密围绕学位作品进行，深入分析学位作品与该领域同类作品之异同，并对自己的创作进行理论性思考和阐述。论文要求主题突出、论点鲜明、论据充分、结构严谨、词句精练、条理分明，撰写必须严格遵守学术研究报告的写作规范。</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3．提交专业学位论文作品时，须附上设计创作作品集，要求毕业设计作品应附有收集的资料信息、设计构思、设计草图、设计作品以及设计理念。</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4．专业学位论文排版规范，印刷格式及体例遵循学校相关的统一规定和《艺术硕士研究生专业学位论文写作规范》。</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(三)专业学位论文答辩要求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研究生在完成专业学位论文后，并同时完成和满足培养的其他要求后，方可申请参加毕业专业学位论文答辩。具体要求为：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1</w:t>
      </w:r>
      <w:r>
        <w:rPr>
          <w:rFonts w:hint="default" w:ascii="仿宋_GB2312" w:hAnsi="宋体" w:eastAsia="仿宋_GB2312" w:cs="Times New Roman"/>
          <w:b/>
          <w:bCs w:val="0"/>
          <w:color w:val="auto"/>
          <w:sz w:val="24"/>
          <w:szCs w:val="24"/>
          <w:highlight w:val="none"/>
          <w:lang w:eastAsia="zh-CN"/>
        </w:rPr>
        <w:t xml:space="preserve">. </w:t>
      </w:r>
      <w:r>
        <w:rPr>
          <w:rFonts w:hint="eastAsia" w:ascii="仿宋_GB2312" w:hAnsi="宋体" w:eastAsia="仿宋_GB2312" w:cs="Times New Roman"/>
          <w:b/>
          <w:bCs w:val="0"/>
          <w:color w:val="auto"/>
          <w:sz w:val="24"/>
          <w:szCs w:val="24"/>
          <w:highlight w:val="none"/>
          <w:lang w:val="en-US" w:eastAsia="zh-CN"/>
        </w:rPr>
        <w:t>专业学位申请者，在学位论文答辩之前，必须在本学科或相关学科的专业性学术刊物或国际学术会议公开发表1篇属于学位论文内容范畴的论文；学习期间需要参加与专业相关的学科竞赛、展览或完成导师指定的设计实践项目，方可申请提交答辩。</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2</w:t>
      </w:r>
      <w:r>
        <w:rPr>
          <w:rFonts w:hint="default" w:ascii="仿宋_GB2312" w:hAnsi="宋体" w:eastAsia="仿宋_GB2312" w:cs="Times New Roman"/>
          <w:b/>
          <w:bCs w:val="0"/>
          <w:color w:val="auto"/>
          <w:sz w:val="24"/>
          <w:szCs w:val="24"/>
          <w:highlight w:val="none"/>
          <w:lang w:eastAsia="zh-CN"/>
        </w:rPr>
        <w:t xml:space="preserve">. </w:t>
      </w:r>
      <w:r>
        <w:rPr>
          <w:rFonts w:hint="eastAsia" w:ascii="仿宋_GB2312" w:hAnsi="宋体" w:eastAsia="仿宋_GB2312" w:cs="Times New Roman"/>
          <w:b/>
          <w:bCs w:val="0"/>
          <w:color w:val="auto"/>
          <w:sz w:val="24"/>
          <w:szCs w:val="24"/>
          <w:highlight w:val="none"/>
          <w:lang w:val="en-US" w:eastAsia="zh-CN"/>
        </w:rPr>
        <w:t>专业学位申请者，完成学位论文后，申请学位答辩前必须通过专业实践能力展示。</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3</w:t>
      </w:r>
      <w:r>
        <w:rPr>
          <w:rFonts w:hint="default" w:ascii="仿宋_GB2312" w:hAnsi="宋体" w:eastAsia="仿宋_GB2312" w:cs="Times New Roman"/>
          <w:b/>
          <w:bCs w:val="0"/>
          <w:color w:val="auto"/>
          <w:sz w:val="24"/>
          <w:szCs w:val="24"/>
          <w:highlight w:val="none"/>
          <w:lang w:eastAsia="zh-CN"/>
        </w:rPr>
        <w:t xml:space="preserve">. </w:t>
      </w:r>
      <w:r>
        <w:rPr>
          <w:rFonts w:hint="eastAsia" w:ascii="仿宋_GB2312" w:hAnsi="宋体" w:eastAsia="仿宋_GB2312" w:cs="Times New Roman"/>
          <w:b/>
          <w:bCs w:val="0"/>
          <w:color w:val="auto"/>
          <w:sz w:val="24"/>
          <w:szCs w:val="24"/>
          <w:highlight w:val="none"/>
          <w:lang w:val="en-US" w:eastAsia="zh-CN"/>
        </w:rPr>
        <w:t>专业学位申请者，必须参加和完成毕业设计与论文选题、开题、中期检查、毕业设计、毕业论文、论文答辩全过程。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4</w:t>
      </w:r>
      <w:r>
        <w:rPr>
          <w:rFonts w:hint="default" w:ascii="仿宋_GB2312" w:hAnsi="宋体" w:eastAsia="仿宋_GB2312" w:cs="Times New Roman"/>
          <w:b/>
          <w:bCs w:val="0"/>
          <w:color w:val="auto"/>
          <w:sz w:val="24"/>
          <w:szCs w:val="24"/>
          <w:highlight w:val="none"/>
          <w:lang w:eastAsia="zh-CN"/>
        </w:rPr>
        <w:t xml:space="preserve">. </w:t>
      </w:r>
      <w:r>
        <w:rPr>
          <w:rFonts w:hint="eastAsia" w:ascii="仿宋_GB2312" w:hAnsi="宋体" w:eastAsia="仿宋_GB2312" w:cs="Times New Roman"/>
          <w:b/>
          <w:bCs w:val="0"/>
          <w:color w:val="auto"/>
          <w:sz w:val="24"/>
          <w:szCs w:val="24"/>
          <w:highlight w:val="none"/>
          <w:lang w:val="en-US" w:eastAsia="zh-CN"/>
        </w:rPr>
        <w:t>专业学位申请者，必须参加和通过专业学位论文答辩。</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5</w:t>
      </w:r>
      <w:r>
        <w:rPr>
          <w:rFonts w:hint="default" w:ascii="仿宋_GB2312" w:hAnsi="宋体" w:eastAsia="仿宋_GB2312" w:cs="Times New Roman"/>
          <w:b/>
          <w:bCs w:val="0"/>
          <w:color w:val="auto"/>
          <w:sz w:val="24"/>
          <w:szCs w:val="24"/>
          <w:highlight w:val="none"/>
          <w:lang w:eastAsia="zh-CN"/>
        </w:rPr>
        <w:t xml:space="preserve">. </w:t>
      </w:r>
      <w:r>
        <w:rPr>
          <w:rFonts w:hint="eastAsia" w:ascii="仿宋_GB2312" w:hAnsi="宋体" w:eastAsia="仿宋_GB2312" w:cs="Times New Roman"/>
          <w:b/>
          <w:bCs w:val="0"/>
          <w:color w:val="auto"/>
          <w:sz w:val="24"/>
          <w:szCs w:val="24"/>
          <w:highlight w:val="none"/>
          <w:lang w:val="en-US" w:eastAsia="zh-CN"/>
        </w:rPr>
        <w:t>专业学位论文评价结果分为：优秀、良好、合格、不合格四种。</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优秀</w:t>
      </w:r>
      <w:r>
        <w:rPr>
          <w:rFonts w:hint="default" w:ascii="仿宋_GB2312" w:hAnsi="宋体" w:eastAsia="仿宋_GB2312" w:cs="Times New Roman"/>
          <w:b/>
          <w:bCs w:val="0"/>
          <w:color w:val="auto"/>
          <w:sz w:val="24"/>
          <w:szCs w:val="24"/>
          <w:highlight w:val="none"/>
          <w:lang w:val="en-US" w:eastAsia="zh-Hans"/>
        </w:rPr>
        <w:t>：85</w:t>
      </w:r>
      <w:r>
        <w:rPr>
          <w:rFonts w:hint="eastAsia" w:ascii="仿宋_GB2312" w:hAnsi="宋体" w:eastAsia="仿宋_GB2312" w:cs="Times New Roman"/>
          <w:b/>
          <w:bCs w:val="0"/>
          <w:color w:val="auto"/>
          <w:sz w:val="24"/>
          <w:szCs w:val="24"/>
          <w:highlight w:val="none"/>
          <w:lang w:val="en-US" w:eastAsia="zh-Hans"/>
        </w:rPr>
        <w:t>分以上</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85</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良好</w:t>
      </w:r>
      <w:r>
        <w:rPr>
          <w:rFonts w:hint="default" w:ascii="仿宋_GB2312" w:hAnsi="宋体" w:eastAsia="仿宋_GB2312" w:cs="Times New Roman"/>
          <w:b/>
          <w:bCs w:val="0"/>
          <w:color w:val="auto"/>
          <w:sz w:val="24"/>
          <w:szCs w:val="24"/>
          <w:highlight w:val="none"/>
          <w:lang w:val="en-US" w:eastAsia="zh-Hans"/>
        </w:rPr>
        <w:t>：84</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70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default"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合格</w:t>
      </w:r>
      <w:r>
        <w:rPr>
          <w:rFonts w:hint="default" w:ascii="仿宋_GB2312" w:hAnsi="宋体" w:eastAsia="仿宋_GB2312" w:cs="Times New Roman"/>
          <w:b/>
          <w:bCs w:val="0"/>
          <w:color w:val="auto"/>
          <w:sz w:val="24"/>
          <w:szCs w:val="24"/>
          <w:highlight w:val="none"/>
          <w:lang w:val="en-US" w:eastAsia="zh-Hans"/>
        </w:rPr>
        <w:t>：69</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r>
        <w:rPr>
          <w:rFonts w:hint="eastAsia" w:ascii="仿宋_GB2312" w:hAnsi="宋体" w:eastAsia="仿宋_GB2312" w:cs="Times New Roman"/>
          <w:b/>
          <w:bCs w:val="0"/>
          <w:color w:val="auto"/>
          <w:sz w:val="24"/>
          <w:szCs w:val="24"/>
          <w:highlight w:val="none"/>
          <w:lang w:val="en-US" w:eastAsia="zh-Hans"/>
        </w:rPr>
        <w:t>含</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w:t>
      </w:r>
      <w:r>
        <w:rPr>
          <w:rFonts w:hint="default" w:ascii="仿宋_GB2312" w:hAnsi="宋体" w:eastAsia="仿宋_GB2312" w:cs="Times New Roman"/>
          <w:b/>
          <w:bCs w:val="0"/>
          <w:color w:val="auto"/>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Hans"/>
        </w:rPr>
      </w:pPr>
      <w:r>
        <w:rPr>
          <w:rFonts w:hint="eastAsia" w:ascii="仿宋_GB2312" w:hAnsi="宋体" w:eastAsia="仿宋_GB2312" w:cs="Times New Roman"/>
          <w:b/>
          <w:bCs w:val="0"/>
          <w:color w:val="auto"/>
          <w:sz w:val="24"/>
          <w:szCs w:val="24"/>
          <w:highlight w:val="none"/>
          <w:lang w:val="en-US" w:eastAsia="zh-Hans"/>
        </w:rPr>
        <w:t>不合格</w:t>
      </w:r>
      <w:r>
        <w:rPr>
          <w:rFonts w:hint="default" w:ascii="仿宋_GB2312" w:hAnsi="宋体" w:eastAsia="仿宋_GB2312" w:cs="Times New Roman"/>
          <w:b/>
          <w:bCs w:val="0"/>
          <w:color w:val="auto"/>
          <w:sz w:val="24"/>
          <w:szCs w:val="24"/>
          <w:highlight w:val="none"/>
          <w:lang w:val="en-US" w:eastAsia="zh-Hans"/>
        </w:rPr>
        <w:t>：60</w:t>
      </w:r>
      <w:r>
        <w:rPr>
          <w:rFonts w:hint="eastAsia" w:ascii="仿宋_GB2312" w:hAnsi="宋体" w:eastAsia="仿宋_GB2312" w:cs="Times New Roman"/>
          <w:b/>
          <w:bCs w:val="0"/>
          <w:color w:val="auto"/>
          <w:sz w:val="24"/>
          <w:szCs w:val="24"/>
          <w:highlight w:val="none"/>
          <w:lang w:val="en-US" w:eastAsia="zh-Hans"/>
        </w:rPr>
        <w:t>分以下</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（四）毕业考核委员会</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由相关领域具有高级职称的专家 3-5 人组成毕业考核委员会（考核委员会中必须包含相关行业专家一名）考核学位申请人专业实践能力展示和专业学位论文答辩是否达到合格水平；学位申请人的导师不能担任考核委员会委员。学位论文的评阅与答辩要求详见《东华理工大学研究生毕业论文（设计）答辩工作细则》等相关要求。</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（五）其他规定</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1．研究生须根据本学科研究生培养方案，在导师的指导下，结合本人实际，在入学后1个月内制订个人培养计划。</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2．研究生培养方案和个人培养计划完成与否，是审定研究生能否毕业和学位授予的基本依据。</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3．培养方案中规定的课程学习、实践活动、学术活动等项目，均按照学校有关管理制度的规定进行考核。</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4. 本学科研究生必须参加学院定期举行的硕士研究生作品展。</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5．其它培养环节（如中期考核等）执行学校有关规定。</w:t>
      </w:r>
    </w:p>
    <w:p>
      <w:pPr>
        <w:spacing w:line="240" w:lineRule="auto"/>
        <w:outlineLvl w:val="0"/>
        <w:rPr>
          <w:rFonts w:ascii="黑体" w:hAnsi="黑体" w:eastAsia="黑体"/>
          <w:b/>
          <w:bCs w:val="0"/>
          <w:color w:val="auto"/>
          <w:sz w:val="28"/>
          <w:szCs w:val="28"/>
          <w:highlight w:val="none"/>
        </w:rPr>
      </w:pPr>
      <w:r>
        <w:rPr>
          <w:rFonts w:hint="eastAsia" w:ascii="黑体" w:hAnsi="黑体" w:eastAsia="黑体"/>
          <w:b/>
          <w:bCs w:val="0"/>
          <w:color w:val="auto"/>
          <w:sz w:val="28"/>
          <w:szCs w:val="28"/>
          <w:highlight w:val="none"/>
        </w:rPr>
        <w:t>十、学位授予</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修满规定学分并毕业考核合格者，经东华理工大学学位评定委员会审核批准，授予艺术硕士专业学位，颁发艺术硕士学位证书和毕业证书。</w:t>
      </w:r>
    </w:p>
    <w:p>
      <w:pPr>
        <w:spacing w:line="240" w:lineRule="auto"/>
        <w:outlineLvl w:val="0"/>
        <w:rPr>
          <w:rFonts w:ascii="黑体" w:hAnsi="黑体" w:eastAsia="黑体"/>
          <w:b/>
          <w:bCs w:val="0"/>
          <w:color w:val="auto"/>
          <w:sz w:val="28"/>
          <w:szCs w:val="28"/>
          <w:highlight w:val="none"/>
        </w:rPr>
      </w:pPr>
      <w:r>
        <w:rPr>
          <w:rFonts w:hint="eastAsia" w:ascii="黑体" w:hAnsi="黑体" w:eastAsia="黑体"/>
          <w:b/>
          <w:bCs w:val="0"/>
          <w:color w:val="auto"/>
          <w:sz w:val="28"/>
          <w:szCs w:val="28"/>
          <w:highlight w:val="none"/>
        </w:rPr>
        <w:t>十一、学业档案</w:t>
      </w:r>
    </w:p>
    <w:p>
      <w:pPr>
        <w:keepNext w:val="0"/>
        <w:keepLines w:val="0"/>
        <w:pageBreakBefore w:val="0"/>
        <w:widowControl w:val="0"/>
        <w:kinsoku/>
        <w:wordWrap/>
        <w:overflowPunct/>
        <w:topLinePunct w:val="0"/>
        <w:autoSpaceDE/>
        <w:autoSpaceDN/>
        <w:bidi w:val="0"/>
        <w:adjustRightInd w:val="0"/>
        <w:snapToGrid w:val="0"/>
        <w:spacing w:after="200" w:line="240" w:lineRule="auto"/>
        <w:ind w:left="0" w:leftChars="0" w:right="210" w:rightChars="0" w:firstLine="482" w:firstLineChars="200"/>
        <w:jc w:val="left"/>
        <w:textAlignment w:val="auto"/>
        <w:outlineLvl w:val="9"/>
        <w:rPr>
          <w:rFonts w:hint="eastAsia" w:ascii="仿宋_GB2312" w:hAnsi="宋体" w:eastAsia="仿宋_GB2312" w:cs="Times New Roman"/>
          <w:b/>
          <w:bCs w:val="0"/>
          <w:color w:val="auto"/>
          <w:sz w:val="24"/>
          <w:szCs w:val="24"/>
          <w:highlight w:val="none"/>
          <w:lang w:val="en-US" w:eastAsia="zh-CN"/>
        </w:rPr>
      </w:pPr>
      <w:r>
        <w:rPr>
          <w:rFonts w:hint="eastAsia" w:ascii="仿宋_GB2312" w:hAnsi="宋体" w:eastAsia="仿宋_GB2312" w:cs="Times New Roman"/>
          <w:b/>
          <w:bCs w:val="0"/>
          <w:color w:val="auto"/>
          <w:sz w:val="24"/>
          <w:szCs w:val="24"/>
          <w:highlight w:val="none"/>
          <w:lang w:val="en-US" w:eastAsia="zh-CN"/>
        </w:rPr>
        <w:t>本领域专业</w:t>
      </w:r>
      <w:r>
        <w:rPr>
          <w:rFonts w:hint="eastAsia" w:ascii="仿宋_GB2312" w:hAnsi="宋体" w:eastAsia="仿宋_GB2312" w:cs="Times New Roman"/>
          <w:b/>
          <w:bCs w:val="0"/>
          <w:color w:val="auto"/>
          <w:sz w:val="24"/>
          <w:szCs w:val="24"/>
          <w:highlight w:val="none"/>
          <w:lang w:val="en-US" w:eastAsia="zh-Hans"/>
        </w:rPr>
        <w:t>研</w:t>
      </w:r>
      <w:r>
        <w:rPr>
          <w:rFonts w:hint="eastAsia" w:ascii="仿宋_GB2312" w:hAnsi="宋体" w:eastAsia="仿宋_GB2312" w:cs="Times New Roman"/>
          <w:b/>
          <w:bCs w:val="0"/>
          <w:color w:val="auto"/>
          <w:sz w:val="24"/>
          <w:szCs w:val="24"/>
          <w:highlight w:val="none"/>
          <w:lang w:val="en-US" w:eastAsia="zh-CN"/>
        </w:rPr>
        <w:t>究生课程学习情况（学分、成绩等）、专业实践能力展示（现场影音录像等）和专业学位论文答辩相关资料须纳入个人《学业档案》，由学院存档。</w:t>
      </w:r>
    </w:p>
    <w:p>
      <w:pPr>
        <w:spacing w:line="240" w:lineRule="auto"/>
        <w:jc w:val="both"/>
        <w:rPr>
          <w:rFonts w:hint="eastAsia" w:ascii="仿宋_GB2312" w:hAnsi="仿宋" w:eastAsia="仿宋_GB2312"/>
          <w:b/>
          <w:bCs w:val="0"/>
          <w:color w:val="auto"/>
          <w:sz w:val="28"/>
          <w:szCs w:val="28"/>
          <w:highlight w:val="none"/>
          <w:lang w:val="en-US" w:eastAsia="zh-CN"/>
        </w:rPr>
      </w:pPr>
    </w:p>
    <w:p>
      <w:pPr>
        <w:spacing w:line="240" w:lineRule="auto"/>
        <w:jc w:val="both"/>
        <w:rPr>
          <w:rFonts w:hint="eastAsia" w:ascii="仿宋_GB2312" w:hAnsi="仿宋" w:eastAsia="仿宋_GB2312"/>
          <w:b/>
          <w:bCs w:val="0"/>
          <w:color w:val="auto"/>
          <w:sz w:val="28"/>
          <w:szCs w:val="28"/>
          <w:highlight w:val="none"/>
          <w:lang w:val="en-US" w:eastAsia="zh-CN"/>
        </w:rPr>
      </w:pPr>
    </w:p>
    <w:p>
      <w:pPr>
        <w:shd w:val="clear" w:color="auto" w:fill="FFFFFF"/>
        <w:spacing w:line="240" w:lineRule="auto"/>
        <w:ind w:left="420" w:leftChars="200" w:firstLine="140" w:firstLineChars="50"/>
        <w:rPr>
          <w:rFonts w:hint="eastAsia" w:ascii="黑体" w:hAnsi="黑体" w:eastAsia="黑体" w:cs="Times New Roman"/>
          <w:b/>
          <w:bCs w:val="0"/>
          <w:color w:val="auto"/>
          <w:kern w:val="0"/>
          <w:sz w:val="28"/>
          <w:szCs w:val="28"/>
          <w:highlight w:val="non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0000000000000000000"/>
    <w:charset w:val="86"/>
    <w:family w:val="auto"/>
    <w:pitch w:val="default"/>
    <w:sig w:usb0="00000000" w:usb1="00000000" w:usb2="00000016" w:usb3="00000000" w:csb0="0004000F" w:csb1="00000000"/>
  </w:font>
  <w:font w:name="仿宋_GB2312">
    <w:altName w:val="方正仿宋_GBK"/>
    <w:panose1 w:val="00000000000000000000"/>
    <w:charset w:val="86"/>
    <w:family w:val="modern"/>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650"/>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D"/>
    <w:rsid w:val="00003788"/>
    <w:rsid w:val="00016C60"/>
    <w:rsid w:val="000550B3"/>
    <w:rsid w:val="00056512"/>
    <w:rsid w:val="00076562"/>
    <w:rsid w:val="00076B58"/>
    <w:rsid w:val="00083226"/>
    <w:rsid w:val="00096CB6"/>
    <w:rsid w:val="000D2AAC"/>
    <w:rsid w:val="000D5295"/>
    <w:rsid w:val="000E6E9E"/>
    <w:rsid w:val="00103873"/>
    <w:rsid w:val="001138B7"/>
    <w:rsid w:val="00121CB9"/>
    <w:rsid w:val="00124617"/>
    <w:rsid w:val="00124AA3"/>
    <w:rsid w:val="00141A8A"/>
    <w:rsid w:val="001445A4"/>
    <w:rsid w:val="00147B04"/>
    <w:rsid w:val="00165E50"/>
    <w:rsid w:val="00173A58"/>
    <w:rsid w:val="001776E5"/>
    <w:rsid w:val="001811F5"/>
    <w:rsid w:val="00192783"/>
    <w:rsid w:val="001A4EF0"/>
    <w:rsid w:val="001B6A22"/>
    <w:rsid w:val="001B7E5E"/>
    <w:rsid w:val="001C3F00"/>
    <w:rsid w:val="001D2539"/>
    <w:rsid w:val="001E1165"/>
    <w:rsid w:val="001E7E5C"/>
    <w:rsid w:val="001F305A"/>
    <w:rsid w:val="002029F5"/>
    <w:rsid w:val="00211B18"/>
    <w:rsid w:val="00216DFC"/>
    <w:rsid w:val="00251CDE"/>
    <w:rsid w:val="002545F4"/>
    <w:rsid w:val="002662CF"/>
    <w:rsid w:val="0027270C"/>
    <w:rsid w:val="002820FA"/>
    <w:rsid w:val="00284F9F"/>
    <w:rsid w:val="00286555"/>
    <w:rsid w:val="002A2035"/>
    <w:rsid w:val="002C45AE"/>
    <w:rsid w:val="002E2EAE"/>
    <w:rsid w:val="002F0A5F"/>
    <w:rsid w:val="002F279F"/>
    <w:rsid w:val="00314FA0"/>
    <w:rsid w:val="00323AC1"/>
    <w:rsid w:val="00324840"/>
    <w:rsid w:val="00326517"/>
    <w:rsid w:val="0037353A"/>
    <w:rsid w:val="00390F7D"/>
    <w:rsid w:val="00395094"/>
    <w:rsid w:val="003B1BA0"/>
    <w:rsid w:val="003C2428"/>
    <w:rsid w:val="003C427D"/>
    <w:rsid w:val="003D104D"/>
    <w:rsid w:val="00405220"/>
    <w:rsid w:val="00411831"/>
    <w:rsid w:val="0044470C"/>
    <w:rsid w:val="004576FD"/>
    <w:rsid w:val="004625E6"/>
    <w:rsid w:val="00464339"/>
    <w:rsid w:val="00495555"/>
    <w:rsid w:val="004A3596"/>
    <w:rsid w:val="004C2914"/>
    <w:rsid w:val="004C6942"/>
    <w:rsid w:val="004C7400"/>
    <w:rsid w:val="004D0153"/>
    <w:rsid w:val="004D120E"/>
    <w:rsid w:val="004D1F81"/>
    <w:rsid w:val="00523D39"/>
    <w:rsid w:val="00527CC4"/>
    <w:rsid w:val="00534557"/>
    <w:rsid w:val="0054729C"/>
    <w:rsid w:val="00554E72"/>
    <w:rsid w:val="00565811"/>
    <w:rsid w:val="005674DC"/>
    <w:rsid w:val="00581694"/>
    <w:rsid w:val="005848C2"/>
    <w:rsid w:val="00596E34"/>
    <w:rsid w:val="005B35D5"/>
    <w:rsid w:val="005D3423"/>
    <w:rsid w:val="006101BB"/>
    <w:rsid w:val="006219CA"/>
    <w:rsid w:val="00633F06"/>
    <w:rsid w:val="00636041"/>
    <w:rsid w:val="006624C5"/>
    <w:rsid w:val="00673A26"/>
    <w:rsid w:val="006B6000"/>
    <w:rsid w:val="006B7E54"/>
    <w:rsid w:val="006C1EC5"/>
    <w:rsid w:val="006C3C7A"/>
    <w:rsid w:val="006D2E17"/>
    <w:rsid w:val="006D48D4"/>
    <w:rsid w:val="006F09F3"/>
    <w:rsid w:val="006F668F"/>
    <w:rsid w:val="006F7E3D"/>
    <w:rsid w:val="00707E77"/>
    <w:rsid w:val="00707EA0"/>
    <w:rsid w:val="00721154"/>
    <w:rsid w:val="00773E64"/>
    <w:rsid w:val="0077461C"/>
    <w:rsid w:val="0078393F"/>
    <w:rsid w:val="00791AD3"/>
    <w:rsid w:val="007A78C4"/>
    <w:rsid w:val="007D6439"/>
    <w:rsid w:val="007D6DFC"/>
    <w:rsid w:val="007E74A0"/>
    <w:rsid w:val="007F15F0"/>
    <w:rsid w:val="007F3577"/>
    <w:rsid w:val="007F76F1"/>
    <w:rsid w:val="008209F5"/>
    <w:rsid w:val="00835763"/>
    <w:rsid w:val="00842A2D"/>
    <w:rsid w:val="0085411C"/>
    <w:rsid w:val="00877813"/>
    <w:rsid w:val="008A5C3C"/>
    <w:rsid w:val="008C54C5"/>
    <w:rsid w:val="008D24C9"/>
    <w:rsid w:val="008D25AD"/>
    <w:rsid w:val="008E102E"/>
    <w:rsid w:val="008E4713"/>
    <w:rsid w:val="00933E82"/>
    <w:rsid w:val="0094583F"/>
    <w:rsid w:val="00946F48"/>
    <w:rsid w:val="009526B4"/>
    <w:rsid w:val="0097169F"/>
    <w:rsid w:val="0098380C"/>
    <w:rsid w:val="00990B9B"/>
    <w:rsid w:val="009B1C08"/>
    <w:rsid w:val="009B5046"/>
    <w:rsid w:val="009C1102"/>
    <w:rsid w:val="009E4A97"/>
    <w:rsid w:val="009F655F"/>
    <w:rsid w:val="00A32A17"/>
    <w:rsid w:val="00A46C7A"/>
    <w:rsid w:val="00A674A2"/>
    <w:rsid w:val="00A7099E"/>
    <w:rsid w:val="00A96816"/>
    <w:rsid w:val="00B21447"/>
    <w:rsid w:val="00B3472E"/>
    <w:rsid w:val="00B4034D"/>
    <w:rsid w:val="00B43351"/>
    <w:rsid w:val="00B450B9"/>
    <w:rsid w:val="00B565C5"/>
    <w:rsid w:val="00B6279F"/>
    <w:rsid w:val="00B70ABF"/>
    <w:rsid w:val="00B7321F"/>
    <w:rsid w:val="00B75320"/>
    <w:rsid w:val="00B83A7B"/>
    <w:rsid w:val="00B84452"/>
    <w:rsid w:val="00B90997"/>
    <w:rsid w:val="00B95847"/>
    <w:rsid w:val="00BA29BE"/>
    <w:rsid w:val="00BA3E61"/>
    <w:rsid w:val="00BB4EE6"/>
    <w:rsid w:val="00BC0F7C"/>
    <w:rsid w:val="00BC490C"/>
    <w:rsid w:val="00BF2FBB"/>
    <w:rsid w:val="00BF5009"/>
    <w:rsid w:val="00C12449"/>
    <w:rsid w:val="00C459D5"/>
    <w:rsid w:val="00C462C6"/>
    <w:rsid w:val="00C5719E"/>
    <w:rsid w:val="00C6077F"/>
    <w:rsid w:val="00C622EA"/>
    <w:rsid w:val="00C70FE5"/>
    <w:rsid w:val="00C72B90"/>
    <w:rsid w:val="00C912F2"/>
    <w:rsid w:val="00CB00EB"/>
    <w:rsid w:val="00CC04FD"/>
    <w:rsid w:val="00CC147E"/>
    <w:rsid w:val="00CE2E31"/>
    <w:rsid w:val="00CF0431"/>
    <w:rsid w:val="00D21F37"/>
    <w:rsid w:val="00D34F33"/>
    <w:rsid w:val="00D7236C"/>
    <w:rsid w:val="00D73CF9"/>
    <w:rsid w:val="00DA6229"/>
    <w:rsid w:val="00DC0834"/>
    <w:rsid w:val="00DC169E"/>
    <w:rsid w:val="00DD4416"/>
    <w:rsid w:val="00DD6950"/>
    <w:rsid w:val="00DE56BE"/>
    <w:rsid w:val="00DE6312"/>
    <w:rsid w:val="00DF3EEE"/>
    <w:rsid w:val="00E00285"/>
    <w:rsid w:val="00E02F18"/>
    <w:rsid w:val="00E2557D"/>
    <w:rsid w:val="00E26645"/>
    <w:rsid w:val="00E26B8B"/>
    <w:rsid w:val="00E45828"/>
    <w:rsid w:val="00E47A88"/>
    <w:rsid w:val="00E572CF"/>
    <w:rsid w:val="00E5765F"/>
    <w:rsid w:val="00E77750"/>
    <w:rsid w:val="00EA07EB"/>
    <w:rsid w:val="00ED399D"/>
    <w:rsid w:val="00ED4D69"/>
    <w:rsid w:val="00EE7F66"/>
    <w:rsid w:val="00EF003C"/>
    <w:rsid w:val="00EF7655"/>
    <w:rsid w:val="00F0499E"/>
    <w:rsid w:val="00F066E6"/>
    <w:rsid w:val="00F072C0"/>
    <w:rsid w:val="00F12949"/>
    <w:rsid w:val="00F1424B"/>
    <w:rsid w:val="00F1547C"/>
    <w:rsid w:val="00F21FC1"/>
    <w:rsid w:val="00F37FA7"/>
    <w:rsid w:val="00F54F23"/>
    <w:rsid w:val="00F8046F"/>
    <w:rsid w:val="00F809BA"/>
    <w:rsid w:val="00F9023E"/>
    <w:rsid w:val="00FA2E25"/>
    <w:rsid w:val="00FA3996"/>
    <w:rsid w:val="00FB7DC8"/>
    <w:rsid w:val="00FE43B0"/>
    <w:rsid w:val="00FE4FE7"/>
    <w:rsid w:val="013F3765"/>
    <w:rsid w:val="01D02F65"/>
    <w:rsid w:val="01ED243D"/>
    <w:rsid w:val="02277559"/>
    <w:rsid w:val="022E049D"/>
    <w:rsid w:val="02535AE7"/>
    <w:rsid w:val="02E5411C"/>
    <w:rsid w:val="02F358E3"/>
    <w:rsid w:val="039A5995"/>
    <w:rsid w:val="04806532"/>
    <w:rsid w:val="05007DC6"/>
    <w:rsid w:val="05034EE1"/>
    <w:rsid w:val="05323422"/>
    <w:rsid w:val="057A4161"/>
    <w:rsid w:val="05A54A6C"/>
    <w:rsid w:val="05BC6120"/>
    <w:rsid w:val="05D46FD0"/>
    <w:rsid w:val="05E9221B"/>
    <w:rsid w:val="06336FF9"/>
    <w:rsid w:val="06B57D52"/>
    <w:rsid w:val="06BA6BBE"/>
    <w:rsid w:val="06D11F24"/>
    <w:rsid w:val="071451DA"/>
    <w:rsid w:val="077E051A"/>
    <w:rsid w:val="07C87CE4"/>
    <w:rsid w:val="07F47E62"/>
    <w:rsid w:val="081035B2"/>
    <w:rsid w:val="08C10912"/>
    <w:rsid w:val="08C623DD"/>
    <w:rsid w:val="09B7401E"/>
    <w:rsid w:val="0A582783"/>
    <w:rsid w:val="0A9E6563"/>
    <w:rsid w:val="0AC62870"/>
    <w:rsid w:val="0B17077C"/>
    <w:rsid w:val="0B177A09"/>
    <w:rsid w:val="0B3D2B32"/>
    <w:rsid w:val="0B8724C9"/>
    <w:rsid w:val="0BC977F4"/>
    <w:rsid w:val="0C0C2AE0"/>
    <w:rsid w:val="0C0D45CB"/>
    <w:rsid w:val="0D5D20B1"/>
    <w:rsid w:val="0ED756DA"/>
    <w:rsid w:val="0EF66EB4"/>
    <w:rsid w:val="0F206669"/>
    <w:rsid w:val="100437D2"/>
    <w:rsid w:val="10481EA7"/>
    <w:rsid w:val="10A669DD"/>
    <w:rsid w:val="10E147BC"/>
    <w:rsid w:val="119E3141"/>
    <w:rsid w:val="11DB3025"/>
    <w:rsid w:val="11E873EE"/>
    <w:rsid w:val="123A4D07"/>
    <w:rsid w:val="130F5D9F"/>
    <w:rsid w:val="13192A12"/>
    <w:rsid w:val="13503F48"/>
    <w:rsid w:val="1357D8B4"/>
    <w:rsid w:val="137564D4"/>
    <w:rsid w:val="14085C31"/>
    <w:rsid w:val="147459FA"/>
    <w:rsid w:val="14B05F52"/>
    <w:rsid w:val="14FA5C85"/>
    <w:rsid w:val="154817BD"/>
    <w:rsid w:val="154A045C"/>
    <w:rsid w:val="15E578C6"/>
    <w:rsid w:val="15ED63C9"/>
    <w:rsid w:val="15FA17EC"/>
    <w:rsid w:val="161D64F7"/>
    <w:rsid w:val="16561D38"/>
    <w:rsid w:val="169D1C9A"/>
    <w:rsid w:val="173347A5"/>
    <w:rsid w:val="176F011A"/>
    <w:rsid w:val="17A25B03"/>
    <w:rsid w:val="186779CF"/>
    <w:rsid w:val="18844762"/>
    <w:rsid w:val="18AE33FD"/>
    <w:rsid w:val="19BB13E3"/>
    <w:rsid w:val="19F506C7"/>
    <w:rsid w:val="1A470FCC"/>
    <w:rsid w:val="1A985BA3"/>
    <w:rsid w:val="1B9C274A"/>
    <w:rsid w:val="1BB11FE2"/>
    <w:rsid w:val="1C9D6A3B"/>
    <w:rsid w:val="1D0C6C36"/>
    <w:rsid w:val="1D4030DF"/>
    <w:rsid w:val="1D854B63"/>
    <w:rsid w:val="1DC32995"/>
    <w:rsid w:val="1E7C4DA7"/>
    <w:rsid w:val="1E823E79"/>
    <w:rsid w:val="1ECD4C4D"/>
    <w:rsid w:val="1FBFF798"/>
    <w:rsid w:val="207756FC"/>
    <w:rsid w:val="21366550"/>
    <w:rsid w:val="21A23128"/>
    <w:rsid w:val="21B76A96"/>
    <w:rsid w:val="221D5CD7"/>
    <w:rsid w:val="224536FA"/>
    <w:rsid w:val="22800FC2"/>
    <w:rsid w:val="2312005D"/>
    <w:rsid w:val="23826ACF"/>
    <w:rsid w:val="23C66D7A"/>
    <w:rsid w:val="23DA3BAB"/>
    <w:rsid w:val="23F17194"/>
    <w:rsid w:val="23F6479A"/>
    <w:rsid w:val="24FC7C44"/>
    <w:rsid w:val="253D1532"/>
    <w:rsid w:val="25577B91"/>
    <w:rsid w:val="25762CD0"/>
    <w:rsid w:val="257D54DD"/>
    <w:rsid w:val="26E4213C"/>
    <w:rsid w:val="26ED66C1"/>
    <w:rsid w:val="27192546"/>
    <w:rsid w:val="272F772D"/>
    <w:rsid w:val="27680D44"/>
    <w:rsid w:val="27986A58"/>
    <w:rsid w:val="27F03116"/>
    <w:rsid w:val="28AE6886"/>
    <w:rsid w:val="28CC007D"/>
    <w:rsid w:val="290F224F"/>
    <w:rsid w:val="298B1907"/>
    <w:rsid w:val="29AC091F"/>
    <w:rsid w:val="2A4365E8"/>
    <w:rsid w:val="2B1B5039"/>
    <w:rsid w:val="2B952D68"/>
    <w:rsid w:val="2BA0283D"/>
    <w:rsid w:val="2BA24F2E"/>
    <w:rsid w:val="2BAC54A4"/>
    <w:rsid w:val="2BFF313B"/>
    <w:rsid w:val="2C433872"/>
    <w:rsid w:val="2D344975"/>
    <w:rsid w:val="2E8B5A0F"/>
    <w:rsid w:val="2E8B7E8F"/>
    <w:rsid w:val="2E964184"/>
    <w:rsid w:val="2E9B5E7E"/>
    <w:rsid w:val="2EB3164D"/>
    <w:rsid w:val="2F066BC8"/>
    <w:rsid w:val="2F1B02E7"/>
    <w:rsid w:val="2F47515D"/>
    <w:rsid w:val="2F58017C"/>
    <w:rsid w:val="30076826"/>
    <w:rsid w:val="30B13C18"/>
    <w:rsid w:val="31215C71"/>
    <w:rsid w:val="315A38AF"/>
    <w:rsid w:val="31FC159A"/>
    <w:rsid w:val="325E5A9D"/>
    <w:rsid w:val="32D77D3F"/>
    <w:rsid w:val="33411528"/>
    <w:rsid w:val="33685F06"/>
    <w:rsid w:val="338153C4"/>
    <w:rsid w:val="348972E6"/>
    <w:rsid w:val="34984F82"/>
    <w:rsid w:val="34B219DB"/>
    <w:rsid w:val="34E463B5"/>
    <w:rsid w:val="3510021E"/>
    <w:rsid w:val="35154204"/>
    <w:rsid w:val="356A1FF6"/>
    <w:rsid w:val="3572355F"/>
    <w:rsid w:val="35FFE094"/>
    <w:rsid w:val="36AF2A64"/>
    <w:rsid w:val="36E36F73"/>
    <w:rsid w:val="3739507D"/>
    <w:rsid w:val="37F7B7BA"/>
    <w:rsid w:val="380431A8"/>
    <w:rsid w:val="38E44EF9"/>
    <w:rsid w:val="3950750B"/>
    <w:rsid w:val="3A05281B"/>
    <w:rsid w:val="3A093D42"/>
    <w:rsid w:val="3A097102"/>
    <w:rsid w:val="3A0D4509"/>
    <w:rsid w:val="3A4F5BC8"/>
    <w:rsid w:val="3AF6616C"/>
    <w:rsid w:val="3B096456"/>
    <w:rsid w:val="3BBD4CF3"/>
    <w:rsid w:val="3CAB3920"/>
    <w:rsid w:val="3CD90E4D"/>
    <w:rsid w:val="3CFA7A75"/>
    <w:rsid w:val="3D696165"/>
    <w:rsid w:val="3D973EF4"/>
    <w:rsid w:val="3DFB3688"/>
    <w:rsid w:val="3E0B61EA"/>
    <w:rsid w:val="3E8C11F4"/>
    <w:rsid w:val="3EB9C5E1"/>
    <w:rsid w:val="3EC37058"/>
    <w:rsid w:val="3ED44983"/>
    <w:rsid w:val="3ED616B6"/>
    <w:rsid w:val="3EFDDA0F"/>
    <w:rsid w:val="3F3B29F7"/>
    <w:rsid w:val="3F9C3806"/>
    <w:rsid w:val="3F9C78C6"/>
    <w:rsid w:val="3F9E0927"/>
    <w:rsid w:val="3FB71CEC"/>
    <w:rsid w:val="3FDBD5BC"/>
    <w:rsid w:val="3FF668A5"/>
    <w:rsid w:val="4058770F"/>
    <w:rsid w:val="41170F77"/>
    <w:rsid w:val="411D03B3"/>
    <w:rsid w:val="42201BFE"/>
    <w:rsid w:val="42246166"/>
    <w:rsid w:val="42381DE4"/>
    <w:rsid w:val="423F3F8C"/>
    <w:rsid w:val="42A13F64"/>
    <w:rsid w:val="42B00CE5"/>
    <w:rsid w:val="43132609"/>
    <w:rsid w:val="44057A70"/>
    <w:rsid w:val="441D1531"/>
    <w:rsid w:val="442F41F5"/>
    <w:rsid w:val="444D61CC"/>
    <w:rsid w:val="44897CF1"/>
    <w:rsid w:val="44E55D85"/>
    <w:rsid w:val="451624F8"/>
    <w:rsid w:val="452C692E"/>
    <w:rsid w:val="45647C6A"/>
    <w:rsid w:val="45DB7532"/>
    <w:rsid w:val="461323CD"/>
    <w:rsid w:val="461D4966"/>
    <w:rsid w:val="46594B7F"/>
    <w:rsid w:val="46854FB4"/>
    <w:rsid w:val="46C300B9"/>
    <w:rsid w:val="47470F38"/>
    <w:rsid w:val="477C3CBD"/>
    <w:rsid w:val="47894D6B"/>
    <w:rsid w:val="479C4A08"/>
    <w:rsid w:val="486863DF"/>
    <w:rsid w:val="488248DF"/>
    <w:rsid w:val="48ED60E4"/>
    <w:rsid w:val="494063E6"/>
    <w:rsid w:val="49F7222F"/>
    <w:rsid w:val="4A354B22"/>
    <w:rsid w:val="4A791CDD"/>
    <w:rsid w:val="4AB14F4B"/>
    <w:rsid w:val="4B0220A8"/>
    <w:rsid w:val="4B637AF1"/>
    <w:rsid w:val="4B90365C"/>
    <w:rsid w:val="4BA7D021"/>
    <w:rsid w:val="4BD3378D"/>
    <w:rsid w:val="4C657007"/>
    <w:rsid w:val="4C916CF0"/>
    <w:rsid w:val="4C9A2815"/>
    <w:rsid w:val="4CAA5B66"/>
    <w:rsid w:val="4D111425"/>
    <w:rsid w:val="4D123869"/>
    <w:rsid w:val="4D2F2ED6"/>
    <w:rsid w:val="4D7877E2"/>
    <w:rsid w:val="4D8B3A70"/>
    <w:rsid w:val="4D8C7CF5"/>
    <w:rsid w:val="4DDF58F9"/>
    <w:rsid w:val="4EC52D3E"/>
    <w:rsid w:val="4F146047"/>
    <w:rsid w:val="4F486116"/>
    <w:rsid w:val="4F93240C"/>
    <w:rsid w:val="4FA16CE1"/>
    <w:rsid w:val="4FD13D0B"/>
    <w:rsid w:val="4FEA3C2A"/>
    <w:rsid w:val="4FFFDE08"/>
    <w:rsid w:val="509A70D5"/>
    <w:rsid w:val="50F338D6"/>
    <w:rsid w:val="510C1511"/>
    <w:rsid w:val="51AD2A89"/>
    <w:rsid w:val="530A572A"/>
    <w:rsid w:val="5360347D"/>
    <w:rsid w:val="54DD4695"/>
    <w:rsid w:val="5524236B"/>
    <w:rsid w:val="554172C1"/>
    <w:rsid w:val="5665179A"/>
    <w:rsid w:val="575874B2"/>
    <w:rsid w:val="578665E6"/>
    <w:rsid w:val="57CE2151"/>
    <w:rsid w:val="580F1E5C"/>
    <w:rsid w:val="581925FF"/>
    <w:rsid w:val="58911A63"/>
    <w:rsid w:val="58B526A6"/>
    <w:rsid w:val="58B90337"/>
    <w:rsid w:val="592A1A07"/>
    <w:rsid w:val="59581FF7"/>
    <w:rsid w:val="5A7C60CD"/>
    <w:rsid w:val="5AD75F88"/>
    <w:rsid w:val="5B4349B7"/>
    <w:rsid w:val="5BDD5BE4"/>
    <w:rsid w:val="5C1D6C52"/>
    <w:rsid w:val="5C337A98"/>
    <w:rsid w:val="5C390AE6"/>
    <w:rsid w:val="5CB00F2F"/>
    <w:rsid w:val="5CFD0F54"/>
    <w:rsid w:val="5D4231FB"/>
    <w:rsid w:val="5D5B48DD"/>
    <w:rsid w:val="5DB70610"/>
    <w:rsid w:val="5DCF1E40"/>
    <w:rsid w:val="5DEF3744"/>
    <w:rsid w:val="5E063CDF"/>
    <w:rsid w:val="5E8C7965"/>
    <w:rsid w:val="5EF81DCF"/>
    <w:rsid w:val="5F0C4600"/>
    <w:rsid w:val="5FA4332E"/>
    <w:rsid w:val="5FDE5798"/>
    <w:rsid w:val="5FEF12A2"/>
    <w:rsid w:val="5FFFAB9B"/>
    <w:rsid w:val="608F4F0D"/>
    <w:rsid w:val="613821C6"/>
    <w:rsid w:val="61A910E3"/>
    <w:rsid w:val="622707F4"/>
    <w:rsid w:val="628310D6"/>
    <w:rsid w:val="62A872B1"/>
    <w:rsid w:val="64757483"/>
    <w:rsid w:val="65E11298"/>
    <w:rsid w:val="66263228"/>
    <w:rsid w:val="671C638F"/>
    <w:rsid w:val="67FE3337"/>
    <w:rsid w:val="680E2485"/>
    <w:rsid w:val="68664042"/>
    <w:rsid w:val="688F05A1"/>
    <w:rsid w:val="68D8446A"/>
    <w:rsid w:val="68ED0D36"/>
    <w:rsid w:val="699D1993"/>
    <w:rsid w:val="69A278D5"/>
    <w:rsid w:val="6A3106F0"/>
    <w:rsid w:val="6ABE0206"/>
    <w:rsid w:val="6B5A3042"/>
    <w:rsid w:val="6BBB826E"/>
    <w:rsid w:val="6BD41D15"/>
    <w:rsid w:val="6BF9F70B"/>
    <w:rsid w:val="6BFB71A8"/>
    <w:rsid w:val="6CD97AAA"/>
    <w:rsid w:val="6CFB1505"/>
    <w:rsid w:val="6D023E80"/>
    <w:rsid w:val="6DEB26E8"/>
    <w:rsid w:val="6E133C85"/>
    <w:rsid w:val="6E380B86"/>
    <w:rsid w:val="6E576667"/>
    <w:rsid w:val="6EE301CB"/>
    <w:rsid w:val="6F3F694F"/>
    <w:rsid w:val="6F7E71BD"/>
    <w:rsid w:val="6F914A8B"/>
    <w:rsid w:val="6F934781"/>
    <w:rsid w:val="6FDD21D9"/>
    <w:rsid w:val="6FE364CB"/>
    <w:rsid w:val="6FF618A2"/>
    <w:rsid w:val="700F5BCA"/>
    <w:rsid w:val="701B7AD7"/>
    <w:rsid w:val="70860FCE"/>
    <w:rsid w:val="709B7F41"/>
    <w:rsid w:val="70E769B8"/>
    <w:rsid w:val="722B0B8F"/>
    <w:rsid w:val="73162739"/>
    <w:rsid w:val="732B2A54"/>
    <w:rsid w:val="73486D9B"/>
    <w:rsid w:val="7362442A"/>
    <w:rsid w:val="73926053"/>
    <w:rsid w:val="73A5216A"/>
    <w:rsid w:val="73C04B0D"/>
    <w:rsid w:val="73FB7551"/>
    <w:rsid w:val="741A7D3A"/>
    <w:rsid w:val="743B6F18"/>
    <w:rsid w:val="74CC63D7"/>
    <w:rsid w:val="75325610"/>
    <w:rsid w:val="753A3FE4"/>
    <w:rsid w:val="756049DA"/>
    <w:rsid w:val="75EB20D0"/>
    <w:rsid w:val="75FFA1CF"/>
    <w:rsid w:val="769B08B1"/>
    <w:rsid w:val="77021653"/>
    <w:rsid w:val="77440FD4"/>
    <w:rsid w:val="77F78E53"/>
    <w:rsid w:val="77FEF65F"/>
    <w:rsid w:val="781711DC"/>
    <w:rsid w:val="782A227F"/>
    <w:rsid w:val="783A3429"/>
    <w:rsid w:val="7874708E"/>
    <w:rsid w:val="78B611EF"/>
    <w:rsid w:val="78B92AB0"/>
    <w:rsid w:val="792373AC"/>
    <w:rsid w:val="79642644"/>
    <w:rsid w:val="796D0834"/>
    <w:rsid w:val="79AF0B60"/>
    <w:rsid w:val="79DF1FAB"/>
    <w:rsid w:val="7A604DAA"/>
    <w:rsid w:val="7A991D63"/>
    <w:rsid w:val="7A9A220D"/>
    <w:rsid w:val="7ABC67C5"/>
    <w:rsid w:val="7ABE2216"/>
    <w:rsid w:val="7AD81989"/>
    <w:rsid w:val="7B32D755"/>
    <w:rsid w:val="7B3F2C58"/>
    <w:rsid w:val="7B781A66"/>
    <w:rsid w:val="7B8857F7"/>
    <w:rsid w:val="7BBBAC01"/>
    <w:rsid w:val="7BDF8231"/>
    <w:rsid w:val="7C963593"/>
    <w:rsid w:val="7CB81966"/>
    <w:rsid w:val="7CC17D13"/>
    <w:rsid w:val="7D3B0997"/>
    <w:rsid w:val="7D6A5BEF"/>
    <w:rsid w:val="7D9FC680"/>
    <w:rsid w:val="7DD5EB0F"/>
    <w:rsid w:val="7DD70851"/>
    <w:rsid w:val="7DD77E3D"/>
    <w:rsid w:val="7DD86C38"/>
    <w:rsid w:val="7DDFB329"/>
    <w:rsid w:val="7E7577C6"/>
    <w:rsid w:val="7EA347EA"/>
    <w:rsid w:val="7EB84980"/>
    <w:rsid w:val="7EF52DF5"/>
    <w:rsid w:val="7EFE6267"/>
    <w:rsid w:val="7F7F44F0"/>
    <w:rsid w:val="7FBDA7A5"/>
    <w:rsid w:val="7FC830AF"/>
    <w:rsid w:val="7FCFB2EB"/>
    <w:rsid w:val="7FE76DBC"/>
    <w:rsid w:val="7FF71DB8"/>
    <w:rsid w:val="7FFA5616"/>
    <w:rsid w:val="7FFDD3F4"/>
    <w:rsid w:val="8C5214B9"/>
    <w:rsid w:val="8DFA8BCE"/>
    <w:rsid w:val="9DFDED8C"/>
    <w:rsid w:val="9FCEAE5A"/>
    <w:rsid w:val="A7FD5A90"/>
    <w:rsid w:val="A9AFA10A"/>
    <w:rsid w:val="AF6FF258"/>
    <w:rsid w:val="AF7D85CE"/>
    <w:rsid w:val="B2F6232E"/>
    <w:rsid w:val="B2FF311A"/>
    <w:rsid w:val="B467C9FB"/>
    <w:rsid w:val="B7A7D90C"/>
    <w:rsid w:val="BA3FB0FC"/>
    <w:rsid w:val="BB7FB33A"/>
    <w:rsid w:val="BF63B62A"/>
    <w:rsid w:val="BF7D20D9"/>
    <w:rsid w:val="BF7D8601"/>
    <w:rsid w:val="BFDF4AB1"/>
    <w:rsid w:val="BFFFD293"/>
    <w:rsid w:val="C3FB9FDA"/>
    <w:rsid w:val="C9FD4979"/>
    <w:rsid w:val="CC5FA83F"/>
    <w:rsid w:val="CFB70A01"/>
    <w:rsid w:val="CFDD3CC0"/>
    <w:rsid w:val="CFFF96B7"/>
    <w:rsid w:val="CFFFFDD4"/>
    <w:rsid w:val="D3BFF0A0"/>
    <w:rsid w:val="D5C5C0DF"/>
    <w:rsid w:val="D7FF3D7F"/>
    <w:rsid w:val="DFBFB7F2"/>
    <w:rsid w:val="DFE77FAB"/>
    <w:rsid w:val="DFEFBB93"/>
    <w:rsid w:val="E39FD694"/>
    <w:rsid w:val="E4EEF9EB"/>
    <w:rsid w:val="E69B4AEE"/>
    <w:rsid w:val="E77DC493"/>
    <w:rsid w:val="E7B760BA"/>
    <w:rsid w:val="E7FBC3E8"/>
    <w:rsid w:val="E7FE5CA2"/>
    <w:rsid w:val="ECEF35A0"/>
    <w:rsid w:val="EEBFE22F"/>
    <w:rsid w:val="EEFF118B"/>
    <w:rsid w:val="EF1E10DA"/>
    <w:rsid w:val="EF3755D8"/>
    <w:rsid w:val="EFABF1D3"/>
    <w:rsid w:val="EFAD0CAE"/>
    <w:rsid w:val="EFDE4FFF"/>
    <w:rsid w:val="F27B5639"/>
    <w:rsid w:val="F37F2E6F"/>
    <w:rsid w:val="F5FBF46E"/>
    <w:rsid w:val="F79F7A89"/>
    <w:rsid w:val="F7DD94C7"/>
    <w:rsid w:val="F7E51BC8"/>
    <w:rsid w:val="F7FD0A47"/>
    <w:rsid w:val="F9DF2AAC"/>
    <w:rsid w:val="FAEEA510"/>
    <w:rsid w:val="FAF74730"/>
    <w:rsid w:val="FBD5D655"/>
    <w:rsid w:val="FBF55F49"/>
    <w:rsid w:val="FC6B979C"/>
    <w:rsid w:val="FD7E2302"/>
    <w:rsid w:val="FD7F5AF2"/>
    <w:rsid w:val="FDF5A35A"/>
    <w:rsid w:val="FDFF37D6"/>
    <w:rsid w:val="FEF73E06"/>
    <w:rsid w:val="FF53C7AB"/>
    <w:rsid w:val="FF759202"/>
    <w:rsid w:val="FFAF5204"/>
    <w:rsid w:val="FFB62E06"/>
    <w:rsid w:val="FFE7F323"/>
    <w:rsid w:val="FFF305C9"/>
    <w:rsid w:val="FFFF4ABD"/>
    <w:rsid w:val="FFFFE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1329</Words>
  <Characters>7579</Characters>
  <Lines>63</Lines>
  <Paragraphs>17</Paragraphs>
  <ScaleCrop>false</ScaleCrop>
  <LinksUpToDate>false</LinksUpToDate>
  <CharactersWithSpaces>8891</CharactersWithSpaces>
  <Application>WPS Office_3.2.0.5058_F1E327BC-269C-435d-A152-05C5408002CA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2020-06-05T22:47:00Z</dcterms:created>
  <dc:creator>sun hongyang</dc:creator>
  <cp:lastModifiedBy>wangchunyang</cp:lastModifiedBy>
  <cp:lastPrinted>2021-01-19T05:07:00Z</cp:lastPrinted>
  <dcterms:modified xsi:type="dcterms:W3CDTF">2021-01-28T21:34:59Z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2052-3.2.0.5058</vt:lpwstr>
  </property>
</Properties>
</file>