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36F52">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东华理工大学美术与设计学院2025年硕士研究生调剂通知</w:t>
      </w:r>
    </w:p>
    <w:p w14:paraId="488912B7">
      <w:pPr>
        <w:spacing w:line="580" w:lineRule="exact"/>
        <w:jc w:val="center"/>
        <w:rPr>
          <w:rFonts w:hint="eastAsia" w:ascii="仿宋_GB2312" w:hAnsi="仿宋_GB2312" w:eastAsia="仿宋_GB2312" w:cs="仿宋_GB2312"/>
          <w:sz w:val="32"/>
          <w:szCs w:val="32"/>
        </w:rPr>
      </w:pPr>
    </w:p>
    <w:p w14:paraId="2AA16333">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w:t>
      </w:r>
      <w:r>
        <w:rPr>
          <w:rFonts w:hint="eastAsia" w:ascii="仿宋_GB2312" w:hAnsi="仿宋_GB2312" w:eastAsia="仿宋_GB2312" w:cs="仿宋_GB2312"/>
          <w:sz w:val="32"/>
          <w:szCs w:val="32"/>
        </w:rPr>
        <w:t>5年硕士研究生国家复试分数线，结合我院考生初试成绩情况，学院</w:t>
      </w:r>
      <w:r>
        <w:rPr>
          <w:rFonts w:hint="eastAsia" w:ascii="仿宋_GB2312" w:hAnsi="仿宋_GB2312" w:eastAsia="仿宋_GB2312" w:cs="仿宋_GB2312"/>
          <w:b/>
          <w:bCs/>
          <w:sz w:val="32"/>
          <w:szCs w:val="32"/>
          <w:lang w:val="en-US" w:eastAsia="zh-CN"/>
        </w:rPr>
        <w:t>油画（全日制）、综合材料绘画（全日制）</w:t>
      </w:r>
      <w:r>
        <w:rPr>
          <w:rFonts w:hint="eastAsia" w:ascii="仿宋_GB2312" w:hAnsi="仿宋_GB2312" w:eastAsia="仿宋_GB2312" w:cs="仿宋_GB2312"/>
          <w:sz w:val="32"/>
          <w:szCs w:val="32"/>
        </w:rPr>
        <w:t>有调剂名额。我院接收调剂的学科（类别、领域）执行的是国家A类考生复试分数线，欢迎广大考生积极申请！</w:t>
      </w:r>
    </w:p>
    <w:p w14:paraId="36833CCC">
      <w:pPr>
        <w:spacing w:line="580" w:lineRule="exact"/>
        <w:ind w:firstLine="640" w:firstLineChars="200"/>
        <w:rPr>
          <w:rFonts w:hint="eastAsia" w:ascii="仿宋_GB2312" w:hAnsi="仿宋_GB2312" w:eastAsia="仿宋_GB2312" w:cs="仿宋_GB2312"/>
          <w:sz w:val="32"/>
          <w:szCs w:val="32"/>
        </w:rPr>
      </w:pPr>
    </w:p>
    <w:p w14:paraId="6068F8F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一、接收调剂专业与联系方式</w:t>
      </w:r>
    </w:p>
    <w:p w14:paraId="3ACD6A4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实际调剂专业和调剂名额以中国研招网“全国硕士生招生调剂服务系统”公布为准。</w:t>
      </w:r>
    </w:p>
    <w:tbl>
      <w:tblPr>
        <w:tblStyle w:val="3"/>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75"/>
        <w:gridCol w:w="1160"/>
        <w:gridCol w:w="2767"/>
        <w:gridCol w:w="2334"/>
      </w:tblGrid>
      <w:tr w14:paraId="4DD3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27" w:type="pct"/>
            <w:noWrap w:val="0"/>
            <w:vAlign w:val="center"/>
          </w:tcPr>
          <w:p w14:paraId="71F8F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专业类型</w:t>
            </w:r>
          </w:p>
        </w:tc>
        <w:tc>
          <w:tcPr>
            <w:tcW w:w="805" w:type="pct"/>
            <w:noWrap w:val="0"/>
            <w:vAlign w:val="center"/>
          </w:tcPr>
          <w:p w14:paraId="15572D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学科专业名称</w:t>
            </w:r>
          </w:p>
        </w:tc>
        <w:tc>
          <w:tcPr>
            <w:tcW w:w="679" w:type="pct"/>
            <w:noWrap w:val="0"/>
            <w:vAlign w:val="center"/>
          </w:tcPr>
          <w:p w14:paraId="63EB7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学科专业代码</w:t>
            </w:r>
          </w:p>
        </w:tc>
        <w:tc>
          <w:tcPr>
            <w:tcW w:w="1620" w:type="pct"/>
            <w:noWrap w:val="0"/>
            <w:vAlign w:val="center"/>
          </w:tcPr>
          <w:p w14:paraId="1397E2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专业方向</w:t>
            </w:r>
          </w:p>
        </w:tc>
        <w:tc>
          <w:tcPr>
            <w:tcW w:w="1366" w:type="pct"/>
            <w:noWrap w:val="0"/>
            <w:vAlign w:val="center"/>
          </w:tcPr>
          <w:p w14:paraId="263712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联系电话</w:t>
            </w:r>
          </w:p>
        </w:tc>
      </w:tr>
      <w:tr w14:paraId="7D4D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27" w:type="pct"/>
            <w:vMerge w:val="restart"/>
            <w:noWrap w:val="0"/>
            <w:vAlign w:val="center"/>
          </w:tcPr>
          <w:p w14:paraId="1824C6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专业型</w:t>
            </w:r>
          </w:p>
        </w:tc>
        <w:tc>
          <w:tcPr>
            <w:tcW w:w="805" w:type="pct"/>
            <w:vMerge w:val="restart"/>
            <w:noWrap w:val="0"/>
            <w:vAlign w:val="center"/>
          </w:tcPr>
          <w:p w14:paraId="3608D7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美术与书法</w:t>
            </w:r>
          </w:p>
        </w:tc>
        <w:tc>
          <w:tcPr>
            <w:tcW w:w="679" w:type="pct"/>
            <w:vMerge w:val="restart"/>
            <w:noWrap w:val="0"/>
            <w:vAlign w:val="center"/>
          </w:tcPr>
          <w:p w14:paraId="72EEE1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lang w:val="en-US" w:eastAsia="zh-CN"/>
              </w:rPr>
            </w:pPr>
            <w:r>
              <w:rPr>
                <w:rFonts w:hint="eastAsia" w:ascii="宋体" w:hAnsi="宋体" w:eastAsia="宋体" w:cs="宋体"/>
                <w:b/>
                <w:bCs/>
                <w:sz w:val="24"/>
                <w:lang w:eastAsia="zh-Hans"/>
              </w:rPr>
              <w:t>1356</w:t>
            </w:r>
            <w:r>
              <w:rPr>
                <w:rFonts w:hint="eastAsia" w:ascii="宋体" w:hAnsi="宋体" w:eastAsia="宋体" w:cs="宋体"/>
                <w:b/>
                <w:bCs/>
                <w:sz w:val="24"/>
                <w:lang w:val="en-US" w:eastAsia="zh-CN"/>
              </w:rPr>
              <w:t>00</w:t>
            </w:r>
          </w:p>
        </w:tc>
        <w:tc>
          <w:tcPr>
            <w:tcW w:w="1620" w:type="pct"/>
            <w:noWrap w:val="0"/>
            <w:vAlign w:val="center"/>
          </w:tcPr>
          <w:p w14:paraId="10A1A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lang w:eastAsia="zh-Hans"/>
              </w:rPr>
            </w:pPr>
            <w:r>
              <w:rPr>
                <w:rFonts w:hint="eastAsia" w:ascii="宋体" w:hAnsi="宋体" w:eastAsia="宋体" w:cs="宋体"/>
                <w:b/>
                <w:bCs/>
                <w:sz w:val="24"/>
                <w:lang w:eastAsia="zh-Hans"/>
              </w:rPr>
              <w:t>01油画</w:t>
            </w:r>
          </w:p>
        </w:tc>
        <w:tc>
          <w:tcPr>
            <w:tcW w:w="1366" w:type="pct"/>
            <w:vMerge w:val="restart"/>
            <w:noWrap w:val="0"/>
            <w:vAlign w:val="center"/>
          </w:tcPr>
          <w:p w14:paraId="23AA7B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陈老师18626988000</w:t>
            </w:r>
          </w:p>
        </w:tc>
      </w:tr>
      <w:tr w14:paraId="1E44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27" w:type="pct"/>
            <w:vMerge w:val="continue"/>
            <w:noWrap w:val="0"/>
            <w:vAlign w:val="top"/>
          </w:tcPr>
          <w:p w14:paraId="17E1651B">
            <w:pPr>
              <w:spacing w:line="580" w:lineRule="exact"/>
              <w:ind w:firstLine="640" w:firstLineChars="200"/>
              <w:rPr>
                <w:rFonts w:hint="eastAsia" w:ascii="仿宋_GB2312" w:hAnsi="仿宋_GB2312" w:eastAsia="仿宋_GB2312" w:cs="仿宋_GB2312"/>
                <w:sz w:val="32"/>
                <w:szCs w:val="32"/>
                <w:lang w:eastAsia="zh-Hans"/>
              </w:rPr>
            </w:pPr>
          </w:p>
        </w:tc>
        <w:tc>
          <w:tcPr>
            <w:tcW w:w="805" w:type="pct"/>
            <w:vMerge w:val="continue"/>
            <w:noWrap w:val="0"/>
            <w:vAlign w:val="top"/>
          </w:tcPr>
          <w:p w14:paraId="63C0DBB3">
            <w:pPr>
              <w:spacing w:line="580" w:lineRule="exact"/>
              <w:ind w:firstLine="640" w:firstLineChars="200"/>
              <w:rPr>
                <w:rFonts w:hint="eastAsia" w:ascii="仿宋_GB2312" w:hAnsi="仿宋_GB2312" w:eastAsia="仿宋_GB2312" w:cs="仿宋_GB2312"/>
                <w:sz w:val="32"/>
                <w:szCs w:val="32"/>
                <w:lang w:eastAsia="zh-Hans"/>
              </w:rPr>
            </w:pPr>
          </w:p>
        </w:tc>
        <w:tc>
          <w:tcPr>
            <w:tcW w:w="679" w:type="pct"/>
            <w:vMerge w:val="continue"/>
            <w:noWrap w:val="0"/>
            <w:vAlign w:val="top"/>
          </w:tcPr>
          <w:p w14:paraId="2C38D241">
            <w:pPr>
              <w:spacing w:line="580" w:lineRule="exact"/>
              <w:ind w:firstLine="640" w:firstLineChars="200"/>
              <w:rPr>
                <w:rFonts w:hint="eastAsia" w:ascii="仿宋_GB2312" w:hAnsi="仿宋_GB2312" w:eastAsia="仿宋_GB2312" w:cs="仿宋_GB2312"/>
                <w:sz w:val="32"/>
                <w:szCs w:val="32"/>
                <w:lang w:eastAsia="zh-Hans"/>
              </w:rPr>
            </w:pPr>
          </w:p>
        </w:tc>
        <w:tc>
          <w:tcPr>
            <w:tcW w:w="1620" w:type="pct"/>
            <w:noWrap w:val="0"/>
            <w:vAlign w:val="center"/>
          </w:tcPr>
          <w:p w14:paraId="080B64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宋体" w:hAnsi="宋体" w:eastAsia="宋体" w:cs="宋体"/>
                <w:b/>
                <w:bCs/>
                <w:sz w:val="24"/>
                <w:lang w:eastAsia="zh-Hans"/>
              </w:rPr>
              <w:t>02综合</w:t>
            </w:r>
            <w:r>
              <w:rPr>
                <w:rFonts w:hint="eastAsia" w:ascii="宋体" w:hAnsi="宋体" w:eastAsia="宋体" w:cs="宋体"/>
                <w:b/>
                <w:bCs/>
                <w:sz w:val="24"/>
                <w:lang w:val="en-US" w:eastAsia="zh-CN"/>
              </w:rPr>
              <w:t>材料</w:t>
            </w:r>
            <w:r>
              <w:rPr>
                <w:rFonts w:hint="eastAsia" w:ascii="宋体" w:hAnsi="宋体" w:eastAsia="宋体" w:cs="宋体"/>
                <w:b/>
                <w:bCs/>
                <w:sz w:val="24"/>
                <w:lang w:eastAsia="zh-Hans"/>
              </w:rPr>
              <w:t>绘画</w:t>
            </w:r>
          </w:p>
        </w:tc>
        <w:tc>
          <w:tcPr>
            <w:tcW w:w="1366" w:type="pct"/>
            <w:vMerge w:val="continue"/>
            <w:tcBorders/>
            <w:noWrap w:val="0"/>
            <w:vAlign w:val="center"/>
          </w:tcPr>
          <w:p w14:paraId="0CE58CF6">
            <w:pPr>
              <w:spacing w:line="580" w:lineRule="exact"/>
              <w:ind w:firstLine="640" w:firstLineChars="200"/>
              <w:rPr>
                <w:rFonts w:hint="eastAsia" w:ascii="仿宋_GB2312" w:hAnsi="仿宋_GB2312" w:eastAsia="仿宋_GB2312" w:cs="仿宋_GB2312"/>
                <w:sz w:val="32"/>
                <w:szCs w:val="32"/>
                <w:lang w:eastAsia="zh-Hans"/>
              </w:rPr>
            </w:pPr>
          </w:p>
        </w:tc>
      </w:tr>
    </w:tbl>
    <w:p w14:paraId="5A0631A1">
      <w:pPr>
        <w:spacing w:line="580" w:lineRule="exact"/>
        <w:ind w:firstLine="640" w:firstLineChars="200"/>
        <w:rPr>
          <w:rFonts w:hint="eastAsia" w:ascii="仿宋_GB2312" w:hAnsi="仿宋_GB2312" w:eastAsia="仿宋_GB2312" w:cs="仿宋_GB2312"/>
          <w:sz w:val="32"/>
          <w:szCs w:val="32"/>
        </w:rPr>
      </w:pPr>
    </w:p>
    <w:p w14:paraId="38C6E58C">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调剂基本条件</w:t>
      </w:r>
    </w:p>
    <w:p w14:paraId="086EA2C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所有考生的调剂工作必须通过“全国硕士研究生招生调剂服务系统”进行，未经调剂系统录取的调剂考生一律不予承认。</w:t>
      </w:r>
    </w:p>
    <w:p w14:paraId="2843EB1D">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1. </w:t>
      </w:r>
      <w:r>
        <w:rPr>
          <w:rFonts w:hint="eastAsia" w:ascii="仿宋_GB2312" w:hAnsi="仿宋_GB2312" w:eastAsia="仿宋_GB2312" w:cs="仿宋_GB2312"/>
          <w:sz w:val="32"/>
          <w:szCs w:val="32"/>
        </w:rPr>
        <w:t>调剂系统考生范围</w:t>
      </w:r>
    </w:p>
    <w:p w14:paraId="2EA4100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参加网上报名，达到《全国初试成绩基本要求》未被一志愿单位录取的考生。</w:t>
      </w:r>
    </w:p>
    <w:p w14:paraId="3C7C5946">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2. </w:t>
      </w:r>
      <w:r>
        <w:rPr>
          <w:rFonts w:hint="eastAsia" w:ascii="仿宋_GB2312" w:hAnsi="仿宋_GB2312" w:eastAsia="仿宋_GB2312" w:cs="仿宋_GB2312"/>
          <w:sz w:val="32"/>
          <w:szCs w:val="32"/>
        </w:rPr>
        <w:t>调剂工作的基本要求</w:t>
      </w:r>
    </w:p>
    <w:p w14:paraId="7CEA5E97">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（1）</w:t>
      </w:r>
      <w:r>
        <w:rPr>
          <w:rFonts w:hint="eastAsia" w:ascii="仿宋_GB2312" w:hAnsi="仿宋_GB2312" w:eastAsia="仿宋_GB2312" w:cs="仿宋_GB2312"/>
          <w:sz w:val="32"/>
          <w:szCs w:val="32"/>
        </w:rPr>
        <w:t>报考条件：符合我校招生简章中规定的调入专业报考条件。</w:t>
      </w:r>
    </w:p>
    <w:p w14:paraId="088E231A">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（2）</w:t>
      </w:r>
      <w:r>
        <w:rPr>
          <w:rFonts w:hint="eastAsia" w:ascii="仿宋_GB2312" w:hAnsi="仿宋_GB2312" w:eastAsia="仿宋_GB2312" w:cs="仿宋_GB2312"/>
          <w:sz w:val="32"/>
          <w:szCs w:val="32"/>
        </w:rPr>
        <w:t>成绩要求：初试成绩（总分、单科）符合第一志愿报考及申请调入专业在调入地区的全国初试成绩基本要求。</w:t>
      </w:r>
    </w:p>
    <w:p w14:paraId="01BAD8E4">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（3）</w:t>
      </w:r>
      <w:r>
        <w:rPr>
          <w:rFonts w:hint="eastAsia" w:ascii="仿宋_GB2312" w:hAnsi="仿宋_GB2312" w:eastAsia="仿宋_GB2312" w:cs="仿宋_GB2312"/>
          <w:sz w:val="32"/>
          <w:szCs w:val="32"/>
        </w:rPr>
        <w:t>专业要求</w:t>
      </w:r>
    </w:p>
    <w:p w14:paraId="4957CAF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调入专业与第一志愿报考专业相同或相近，应在同一学科门类范围内。</w:t>
      </w:r>
    </w:p>
    <w:p w14:paraId="22746636">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（4）</w:t>
      </w:r>
      <w:r>
        <w:rPr>
          <w:rFonts w:hint="eastAsia" w:ascii="仿宋_GB2312" w:hAnsi="仿宋_GB2312" w:eastAsia="仿宋_GB2312" w:cs="仿宋_GB2312"/>
          <w:sz w:val="32"/>
          <w:szCs w:val="32"/>
        </w:rPr>
        <w:t>科目要求</w:t>
      </w:r>
    </w:p>
    <w:p w14:paraId="385A515D">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初试科目应与调入专业初试科目相同或相近，其中初试全国统一命题科目应与调入专业全国统一命题科目相同或相近。</w:t>
      </w:r>
    </w:p>
    <w:p w14:paraId="0CB884E2">
      <w:pPr>
        <w:numPr>
          <w:ilvl w:val="0"/>
          <w:numId w:val="1"/>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不接受跨专业调剂，分研究方向按初试总成绩从高到低择优遴选</w:t>
      </w:r>
      <w:r>
        <w:rPr>
          <w:rFonts w:hint="eastAsia" w:ascii="仿宋_GB2312" w:hAnsi="仿宋_GB2312" w:eastAsia="仿宋_GB2312" w:cs="仿宋_GB2312"/>
          <w:sz w:val="32"/>
          <w:szCs w:val="32"/>
        </w:rPr>
        <w:t>。</w:t>
      </w:r>
    </w:p>
    <w:p w14:paraId="30AE07D0">
      <w:pPr>
        <w:spacing w:line="580" w:lineRule="exact"/>
        <w:ind w:firstLine="640" w:firstLineChars="200"/>
        <w:rPr>
          <w:rFonts w:hint="eastAsia" w:ascii="仿宋_GB2312" w:hAnsi="仿宋_GB2312" w:eastAsia="仿宋_GB2312" w:cs="仿宋_GB2312"/>
          <w:sz w:val="32"/>
          <w:szCs w:val="32"/>
        </w:rPr>
      </w:pPr>
    </w:p>
    <w:p w14:paraId="36B54F58">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三、调剂程序</w:t>
      </w:r>
    </w:p>
    <w:p w14:paraId="1C3976DE">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研招网调剂系统开通后，所有申请调剂的考生均需登录中国研究生招生信息网（http://yz.chsi.co</w:t>
      </w:r>
      <w:bookmarkStart w:id="0" w:name="_GoBack"/>
      <w:bookmarkEnd w:id="0"/>
      <w:r>
        <w:rPr>
          <w:rFonts w:hint="eastAsia" w:ascii="仿宋_GB2312" w:hAnsi="仿宋_GB2312" w:eastAsia="仿宋_GB2312" w:cs="仿宋_GB2312"/>
          <w:sz w:val="32"/>
          <w:szCs w:val="32"/>
        </w:rPr>
        <w:t>m.cn/）的“全国硕士生招生调剂服务系统”，通过自己的报名账号进入考生调剂服务系统，选择“东华理工大学（10405）”和“需要调剂的专业”提交“调剂申请”，并按照要求做好相关工作。</w:t>
      </w:r>
    </w:p>
    <w:p w14:paraId="5AD9EA05">
      <w:pPr>
        <w:spacing w:line="580" w:lineRule="exact"/>
        <w:ind w:firstLine="640" w:firstLineChars="200"/>
        <w:rPr>
          <w:rFonts w:hint="eastAsia" w:ascii="仿宋_GB2312" w:hAnsi="仿宋_GB2312" w:eastAsia="仿宋_GB2312" w:cs="仿宋_GB2312"/>
          <w:sz w:val="32"/>
          <w:szCs w:val="32"/>
        </w:rPr>
      </w:pPr>
    </w:p>
    <w:p w14:paraId="24BBB73A">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四、奖助政策</w:t>
      </w:r>
    </w:p>
    <w:p w14:paraId="7E81F554">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全日制硕士研究生奖助体系包括学业奖学金、国家助学金、国家奖学金、江西省政府奖学金、优秀奖学金、单项奖学金、“三助”岗位津贴等多项奖助学金，其中学业奖学金100%全覆盖。</w:t>
      </w:r>
    </w:p>
    <w:p w14:paraId="72AAE13D">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1D5AFD4">
      <w:pPr>
        <w:spacing w:line="580" w:lineRule="exact"/>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东华理工大学美术与设计学院</w:t>
      </w:r>
    </w:p>
    <w:p w14:paraId="58AC2D42">
      <w:pPr>
        <w:spacing w:line="58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F0A7A"/>
    <w:multiLevelType w:val="singleLevel"/>
    <w:tmpl w:val="DDEF0A7A"/>
    <w:lvl w:ilvl="0" w:tentative="0">
      <w:start w:val="5"/>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F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2025-04-08T01:32:42Z</dcterms:created>
  <dc:creator>hp</dc:creator>
  <cp:lastModifiedBy>陈莹</cp:lastModifiedBy>
  <dcterms:modified xsi:type="dcterms:W3CDTF">2025-04-08T01:45:08Z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eyJoZGlkIjoiMGNiMTJiMjdjZDlmZTNmYzY1N2EwNmIzOTJkYTBjNmIiLCJ1c2VySWQiOiI2NjMyMDQ4MTcifQ==</vt:lpwstr>
  </property>
  <property fmtid="{D5CDD505-2E9C-101B-9397-08002B2CF9AE}" pid="4" name="ICV">
    <vt:lpwstr>3BE812C67EF5421AACEF1FEEABAE92CC_12</vt:lpwstr>
  </property>
</Properties>
</file>