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line="240" w:lineRule="auto"/>
        <w:jc w:val="center"/>
        <w:outlineLvl w:val="0"/>
        <w:rPr>
          <w:rFonts w:hint="eastAsia" w:ascii="黑体" w:hAnsi="黑体" w:eastAsia="黑体" w:cs="Times New Roman"/>
          <w:b/>
          <w:bCs w:val="0"/>
          <w:color w:val="auto"/>
          <w:kern w:val="0"/>
          <w:sz w:val="36"/>
          <w:szCs w:val="36"/>
          <w:highlight w:val="none"/>
        </w:rPr>
      </w:pPr>
      <w:r>
        <w:rPr>
          <w:rFonts w:hint="eastAsia" w:ascii="黑体" w:hAnsi="黑体" w:eastAsia="黑体" w:cs="Times New Roman"/>
          <w:b/>
          <w:bCs w:val="0"/>
          <w:color w:val="auto"/>
          <w:kern w:val="0"/>
          <w:sz w:val="36"/>
          <w:szCs w:val="36"/>
          <w:highlight w:val="none"/>
        </w:rPr>
        <w:t>东华理工大学艺术硕士研究生培养方案</w:t>
      </w:r>
    </w:p>
    <w:p>
      <w:pPr>
        <w:widowControl/>
        <w:spacing w:line="240" w:lineRule="auto"/>
        <w:jc w:val="center"/>
        <w:outlineLvl w:val="0"/>
        <w:rPr>
          <w:rFonts w:ascii="黑体" w:hAnsi="黑体" w:eastAsia="黑体" w:cs="Times New Roman"/>
          <w:b/>
          <w:bCs w:val="0"/>
          <w:color w:val="auto"/>
          <w:kern w:val="0"/>
          <w:sz w:val="36"/>
          <w:szCs w:val="36"/>
          <w:highlight w:val="none"/>
        </w:rPr>
      </w:pPr>
      <w:r>
        <w:rPr>
          <w:rFonts w:hint="eastAsia" w:ascii="黑体" w:hAnsi="黑体" w:eastAsia="黑体" w:cs="Times New Roman"/>
          <w:b/>
          <w:bCs w:val="0"/>
          <w:color w:val="auto"/>
          <w:kern w:val="0"/>
          <w:sz w:val="36"/>
          <w:szCs w:val="36"/>
          <w:highlight w:val="none"/>
        </w:rPr>
        <w:t>（艺术设计领域）</w:t>
      </w:r>
    </w:p>
    <w:p>
      <w:pPr>
        <w:widowControl/>
        <w:spacing w:line="240" w:lineRule="auto"/>
        <w:jc w:val="center"/>
        <w:outlineLvl w:val="0"/>
        <w:rPr>
          <w:rFonts w:ascii="黑体" w:hAnsi="黑体" w:eastAsia="黑体" w:cs="Times New Roman"/>
          <w:b/>
          <w:bCs w:val="0"/>
          <w:color w:val="auto"/>
          <w:kern w:val="0"/>
          <w:sz w:val="36"/>
          <w:szCs w:val="36"/>
          <w:highlight w:val="none"/>
        </w:rPr>
      </w:pPr>
      <w:r>
        <w:rPr>
          <w:rFonts w:hint="eastAsia" w:ascii="黑体" w:hAnsi="黑体" w:eastAsia="黑体" w:cs="Times New Roman"/>
          <w:b/>
          <w:bCs w:val="0"/>
          <w:color w:val="auto"/>
          <w:kern w:val="0"/>
          <w:sz w:val="36"/>
          <w:szCs w:val="36"/>
          <w:highlight w:val="none"/>
        </w:rPr>
        <w:t>(代码：135108)</w:t>
      </w:r>
    </w:p>
    <w:p>
      <w:pPr>
        <w:widowControl w:val="0"/>
        <w:adjustRightInd/>
        <w:snapToGrid/>
        <w:spacing w:after="0" w:line="240" w:lineRule="auto"/>
        <w:ind w:left="281" w:hanging="280" w:hangingChars="100"/>
        <w:jc w:val="both"/>
        <w:outlineLvl w:val="0"/>
        <w:rPr>
          <w:rFonts w:ascii="黑体" w:hAnsi="黑体" w:eastAsia="黑体"/>
          <w:b/>
          <w:bCs w:val="0"/>
          <w:color w:val="auto"/>
          <w:kern w:val="2"/>
          <w:sz w:val="28"/>
          <w:szCs w:val="28"/>
          <w:highlight w:val="none"/>
        </w:rPr>
      </w:pPr>
      <w:r>
        <w:rPr>
          <w:rFonts w:hint="eastAsia" w:ascii="黑体" w:hAnsi="黑体" w:eastAsia="黑体"/>
          <w:b/>
          <w:bCs w:val="0"/>
          <w:color w:val="auto"/>
          <w:kern w:val="2"/>
          <w:sz w:val="28"/>
          <w:szCs w:val="28"/>
          <w:highlight w:val="none"/>
        </w:rPr>
        <w:t>一、</w:t>
      </w:r>
      <w:r>
        <w:rPr>
          <w:rFonts w:hint="eastAsia" w:ascii="黑体" w:hAnsi="黑体" w:eastAsia="黑体"/>
          <w:b/>
          <w:bCs w:val="0"/>
          <w:color w:val="auto"/>
          <w:kern w:val="2"/>
          <w:sz w:val="28"/>
          <w:szCs w:val="28"/>
          <w:highlight w:val="none"/>
          <w:lang w:val="en-US" w:eastAsia="zh-CN"/>
        </w:rPr>
        <w:t>学科</w:t>
      </w:r>
      <w:r>
        <w:rPr>
          <w:rFonts w:hint="eastAsia" w:ascii="黑体" w:hAnsi="黑体" w:eastAsia="黑体"/>
          <w:b/>
          <w:bCs w:val="0"/>
          <w:color w:val="auto"/>
          <w:kern w:val="2"/>
          <w:sz w:val="28"/>
          <w:szCs w:val="28"/>
          <w:highlight w:val="none"/>
        </w:rPr>
        <w:t>简介</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rPr>
      </w:pPr>
      <w:r>
        <w:rPr>
          <w:rFonts w:hint="eastAsia" w:ascii="仿宋_GB2312" w:hAnsi="宋体" w:eastAsia="仿宋_GB2312" w:cs="Times New Roman"/>
          <w:b/>
          <w:bCs w:val="0"/>
          <w:color w:val="auto"/>
          <w:sz w:val="24"/>
          <w:szCs w:val="24"/>
          <w:highlight w:val="none"/>
        </w:rPr>
        <w:t>东华理工大学艺术学科发展起步早，始于1977年创办的艺术系，下设美术、音乐专业，是江西省最早设置艺术类专业的院校之一。2014年经国务院学位办批准，学科教学美术获得国家教育硕士专业学位授予权。2015年经江西省教育厅批准，设立紧缺学科的国培基地。2019年获得艺术硕士（MFA）专业学位授予权，涵盖美术、艺术设计、音乐3个专业领域。</w:t>
      </w:r>
    </w:p>
    <w:p>
      <w:pPr>
        <w:spacing w:line="240" w:lineRule="auto"/>
        <w:ind w:right="210"/>
        <w:outlineLvl w:val="0"/>
        <w:rPr>
          <w:rFonts w:ascii="黑体" w:hAnsi="黑体" w:eastAsia="黑体" w:cs="Times New Roman"/>
          <w:b/>
          <w:bCs w:val="0"/>
          <w:color w:val="auto"/>
          <w:kern w:val="0"/>
          <w:sz w:val="28"/>
          <w:szCs w:val="28"/>
          <w:highlight w:val="none"/>
        </w:rPr>
      </w:pPr>
      <w:r>
        <w:rPr>
          <w:rFonts w:hint="eastAsia" w:ascii="黑体" w:hAnsi="黑体" w:eastAsia="黑体" w:cs="Times New Roman"/>
          <w:b/>
          <w:bCs w:val="0"/>
          <w:color w:val="auto"/>
          <w:kern w:val="0"/>
          <w:sz w:val="28"/>
          <w:szCs w:val="28"/>
          <w:highlight w:val="none"/>
        </w:rPr>
        <w:t>二</w:t>
      </w:r>
      <w:r>
        <w:rPr>
          <w:rFonts w:ascii="黑体" w:hAnsi="黑体" w:eastAsia="黑体" w:cs="Times New Roman"/>
          <w:b/>
          <w:bCs w:val="0"/>
          <w:color w:val="auto"/>
          <w:kern w:val="0"/>
          <w:sz w:val="28"/>
          <w:szCs w:val="28"/>
          <w:highlight w:val="none"/>
        </w:rPr>
        <w:t>、培养目标</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rPr>
      </w:pPr>
      <w:r>
        <w:rPr>
          <w:rFonts w:hint="eastAsia" w:ascii="仿宋_GB2312" w:hAnsi="宋体" w:eastAsia="仿宋_GB2312" w:cs="Times New Roman"/>
          <w:b/>
          <w:bCs w:val="0"/>
          <w:color w:val="auto"/>
          <w:sz w:val="24"/>
          <w:szCs w:val="24"/>
          <w:highlight w:val="none"/>
        </w:rPr>
        <w:t>艺术设计领域艺术硕士专业学位教育，旨在贯彻落实党的教育方针和立德树人根本任务，坚持艺术与科学相结合，传统文化与现代技术相融合，坚持设计教育对接区域产业和文化创意产业发展领域，依托学校学科优势，培养具有良好职业道德、系统专业知识、高水平专业技能及良好综合素养的高层次应用型专业人才。</w:t>
      </w:r>
    </w:p>
    <w:p>
      <w:pPr>
        <w:spacing w:line="240" w:lineRule="auto"/>
        <w:ind w:right="210"/>
        <w:outlineLvl w:val="0"/>
        <w:rPr>
          <w:rFonts w:ascii="黑体" w:hAnsi="黑体" w:eastAsia="黑体" w:cs="Times New Roman"/>
          <w:b/>
          <w:bCs w:val="0"/>
          <w:color w:val="auto"/>
          <w:kern w:val="0"/>
          <w:sz w:val="28"/>
          <w:szCs w:val="28"/>
          <w:highlight w:val="none"/>
        </w:rPr>
      </w:pPr>
      <w:r>
        <w:rPr>
          <w:rFonts w:hint="eastAsia" w:ascii="黑体" w:hAnsi="黑体" w:eastAsia="黑体" w:cs="Times New Roman"/>
          <w:b/>
          <w:bCs w:val="0"/>
          <w:color w:val="auto"/>
          <w:kern w:val="0"/>
          <w:sz w:val="28"/>
          <w:szCs w:val="28"/>
          <w:highlight w:val="none"/>
        </w:rPr>
        <w:t>三、招生对象</w:t>
      </w:r>
    </w:p>
    <w:p>
      <w:pPr>
        <w:spacing w:line="240" w:lineRule="auto"/>
        <w:ind w:left="210" w:right="210" w:firstLine="482" w:firstLineChars="200"/>
        <w:rPr>
          <w:rFonts w:ascii="仿宋_GB2312" w:hAnsi="宋体" w:eastAsia="仿宋_GB2312" w:cs="Times New Roman"/>
          <w:b/>
          <w:bCs w:val="0"/>
          <w:color w:val="auto"/>
          <w:sz w:val="24"/>
          <w:szCs w:val="24"/>
          <w:highlight w:val="none"/>
        </w:rPr>
      </w:pPr>
      <w:r>
        <w:rPr>
          <w:rFonts w:ascii="仿宋_GB2312" w:hAnsi="宋体" w:eastAsia="仿宋_GB2312" w:cs="Times New Roman"/>
          <w:b/>
          <w:bCs w:val="0"/>
          <w:color w:val="auto"/>
          <w:sz w:val="24"/>
          <w:szCs w:val="24"/>
          <w:highlight w:val="none"/>
        </w:rPr>
        <w:t>具有大学本科学历（或本科同等学力）</w:t>
      </w:r>
      <w:r>
        <w:rPr>
          <w:rFonts w:hint="eastAsia" w:ascii="仿宋_GB2312" w:hAnsi="宋体" w:eastAsia="仿宋_GB2312" w:cs="Times New Roman"/>
          <w:b/>
          <w:bCs w:val="0"/>
          <w:color w:val="auto"/>
          <w:sz w:val="24"/>
          <w:szCs w:val="24"/>
          <w:highlight w:val="none"/>
        </w:rPr>
        <w:t>人员。</w:t>
      </w:r>
    </w:p>
    <w:p>
      <w:pPr>
        <w:spacing w:line="240" w:lineRule="auto"/>
        <w:ind w:right="210"/>
        <w:outlineLvl w:val="0"/>
        <w:rPr>
          <w:rFonts w:ascii="黑体" w:hAnsi="黑体" w:eastAsia="黑体" w:cs="Times New Roman"/>
          <w:b/>
          <w:bCs w:val="0"/>
          <w:color w:val="auto"/>
          <w:kern w:val="0"/>
          <w:sz w:val="28"/>
          <w:szCs w:val="28"/>
          <w:highlight w:val="none"/>
        </w:rPr>
      </w:pPr>
      <w:r>
        <w:rPr>
          <w:rFonts w:hint="eastAsia" w:ascii="黑体" w:hAnsi="黑体" w:eastAsia="黑体" w:cs="Times New Roman"/>
          <w:b/>
          <w:bCs w:val="0"/>
          <w:color w:val="auto"/>
          <w:kern w:val="0"/>
          <w:sz w:val="28"/>
          <w:szCs w:val="28"/>
          <w:highlight w:val="none"/>
        </w:rPr>
        <w:t>四、</w:t>
      </w:r>
      <w:r>
        <w:rPr>
          <w:rFonts w:hint="eastAsia" w:ascii="黑体" w:hAnsi="黑体" w:eastAsia="黑体" w:cs="Times New Roman"/>
          <w:b/>
          <w:bCs w:val="0"/>
          <w:color w:val="auto"/>
          <w:kern w:val="0"/>
          <w:sz w:val="28"/>
          <w:szCs w:val="28"/>
          <w:highlight w:val="none"/>
          <w:lang w:val="en-US" w:eastAsia="zh-CN"/>
        </w:rPr>
        <w:t>领域</w:t>
      </w:r>
      <w:r>
        <w:rPr>
          <w:rFonts w:hint="eastAsia" w:ascii="黑体" w:hAnsi="黑体" w:eastAsia="黑体" w:cs="Times New Roman"/>
          <w:b/>
          <w:bCs w:val="0"/>
          <w:color w:val="auto"/>
          <w:kern w:val="0"/>
          <w:sz w:val="28"/>
          <w:szCs w:val="28"/>
          <w:highlight w:val="none"/>
        </w:rPr>
        <w:t>方向</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rPr>
      </w:pPr>
      <w:r>
        <w:rPr>
          <w:rFonts w:hint="eastAsia" w:ascii="仿宋_GB2312" w:hAnsi="宋体" w:eastAsia="仿宋_GB2312" w:cs="Times New Roman"/>
          <w:b/>
          <w:bCs w:val="0"/>
          <w:color w:val="auto"/>
          <w:sz w:val="24"/>
          <w:szCs w:val="24"/>
          <w:highlight w:val="none"/>
        </w:rPr>
        <w:t>1．视觉设计与信息化研究方向</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宋体" w:eastAsia="仿宋_GB2312" w:cs="Times New Roman"/>
          <w:b/>
          <w:bCs w:val="0"/>
          <w:color w:val="auto"/>
          <w:sz w:val="24"/>
          <w:szCs w:val="24"/>
          <w:highlight w:val="none"/>
          <w:lang w:val="en-US" w:eastAsia="zh-CN"/>
        </w:rPr>
        <w:t>本专业方向主要培养学生将视觉信息快捷有效地传递给受众的方法和技巧。注重对视觉传达设计发展方向及前沿动态的研究，能较熟练地运用所学专业知识和技能解决视觉传达设计和数字媒体设计领域的实际问题，能从事视觉设计、数字媒体设计相关领域的高层次工作的复合型应用设计专门人才。</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rPr>
      </w:pPr>
      <w:r>
        <w:rPr>
          <w:rFonts w:hint="eastAsia" w:ascii="仿宋_GB2312" w:hAnsi="宋体" w:eastAsia="仿宋_GB2312" w:cs="Times New Roman"/>
          <w:b/>
          <w:bCs w:val="0"/>
          <w:color w:val="auto"/>
          <w:sz w:val="24"/>
          <w:szCs w:val="24"/>
          <w:highlight w:val="none"/>
        </w:rPr>
        <w:t>2</w:t>
      </w:r>
      <w:r>
        <w:rPr>
          <w:rFonts w:hint="eastAsia" w:ascii="仿宋_GB2312" w:hAnsi="宋体" w:eastAsia="仿宋_GB2312" w:cs="Times New Roman"/>
          <w:b/>
          <w:bCs w:val="0"/>
          <w:color w:val="auto"/>
          <w:sz w:val="24"/>
          <w:szCs w:val="24"/>
          <w:highlight w:val="none"/>
          <w:lang w:val="en-US" w:eastAsia="zh-Hans"/>
        </w:rPr>
        <w:t>.</w:t>
      </w:r>
      <w:r>
        <w:rPr>
          <w:rFonts w:hint="eastAsia" w:ascii="仿宋_GB2312" w:hAnsi="宋体" w:eastAsia="仿宋_GB2312" w:cs="Times New Roman"/>
          <w:b/>
          <w:bCs w:val="0"/>
          <w:color w:val="auto"/>
          <w:sz w:val="24"/>
          <w:szCs w:val="24"/>
          <w:highlight w:val="none"/>
          <w:lang w:eastAsia="zh-Hans"/>
        </w:rPr>
        <w:t xml:space="preserve"> </w:t>
      </w:r>
      <w:r>
        <w:rPr>
          <w:rFonts w:hint="eastAsia" w:ascii="仿宋_GB2312" w:hAnsi="宋体" w:eastAsia="仿宋_GB2312" w:cs="Times New Roman"/>
          <w:b/>
          <w:bCs w:val="0"/>
          <w:color w:val="auto"/>
          <w:sz w:val="24"/>
          <w:szCs w:val="24"/>
          <w:highlight w:val="none"/>
        </w:rPr>
        <w:t>环境与公共艺术设计研究方向</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lang w:val="en-US" w:eastAsia="zh-CN"/>
        </w:rPr>
      </w:pPr>
      <w:r>
        <w:rPr>
          <w:rFonts w:hint="eastAsia" w:ascii="仿宋_GB2312" w:hAnsi="宋体" w:eastAsia="仿宋_GB2312" w:cs="Times New Roman"/>
          <w:b/>
          <w:bCs w:val="0"/>
          <w:color w:val="auto"/>
          <w:sz w:val="24"/>
          <w:szCs w:val="24"/>
          <w:highlight w:val="none"/>
          <w:lang w:val="en-US" w:eastAsia="zh-CN"/>
        </w:rPr>
        <w:t>本专业方向含及建筑装饰、室内空间、城市景观等相关行业领域。该方向的研究过程探究了“人与自然环境、人与人文社会环境”的各种关系。并在新技术、新业态、新模式、新产业为代表的新经济发展背景下，体现具有技术性、工程性和应用性的综合特质型艺术专业教育体系。为服务“中国制造2025”“一带一路”计划、“乡村振兴”等重大战略的实施培养适用于设计行业需求的专门人才。</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lang w:val="en-US" w:eastAsia="zh-CN"/>
        </w:rPr>
      </w:pPr>
      <w:r>
        <w:rPr>
          <w:rFonts w:hint="eastAsia" w:ascii="仿宋_GB2312" w:hAnsi="宋体" w:eastAsia="仿宋_GB2312" w:cs="Times New Roman"/>
          <w:b/>
          <w:bCs w:val="0"/>
          <w:color w:val="auto"/>
          <w:sz w:val="24"/>
          <w:szCs w:val="24"/>
          <w:highlight w:val="none"/>
          <w:lang w:eastAsia="zh-CN"/>
        </w:rPr>
        <w:t>3</w:t>
      </w:r>
      <w:r>
        <w:rPr>
          <w:rFonts w:hint="eastAsia" w:ascii="仿宋_GB2312" w:hAnsi="宋体" w:eastAsia="仿宋_GB2312" w:cs="Times New Roman"/>
          <w:b/>
          <w:bCs w:val="0"/>
          <w:color w:val="auto"/>
          <w:sz w:val="24"/>
          <w:szCs w:val="24"/>
          <w:highlight w:val="none"/>
          <w:lang w:val="en-US" w:eastAsia="zh-Hans"/>
        </w:rPr>
        <w:t>.</w:t>
      </w:r>
      <w:r>
        <w:rPr>
          <w:rFonts w:hint="eastAsia" w:ascii="仿宋_GB2312" w:hAnsi="宋体" w:eastAsia="仿宋_GB2312" w:cs="Times New Roman"/>
          <w:b/>
          <w:bCs w:val="0"/>
          <w:color w:val="auto"/>
          <w:sz w:val="24"/>
          <w:szCs w:val="24"/>
          <w:highlight w:val="none"/>
          <w:lang w:eastAsia="zh-Hans"/>
        </w:rPr>
        <w:t xml:space="preserve"> </w:t>
      </w:r>
      <w:r>
        <w:rPr>
          <w:rFonts w:hint="eastAsia" w:ascii="仿宋_GB2312" w:hAnsi="宋体" w:eastAsia="仿宋_GB2312" w:cs="Times New Roman"/>
          <w:b/>
          <w:bCs w:val="0"/>
          <w:color w:val="auto"/>
          <w:sz w:val="24"/>
          <w:szCs w:val="24"/>
          <w:highlight w:val="none"/>
          <w:lang w:val="en-US" w:eastAsia="zh-CN"/>
        </w:rPr>
        <w:t>产品创新与文化创意研究方向</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lang w:val="en-US" w:eastAsia="zh-CN"/>
        </w:rPr>
      </w:pPr>
      <w:r>
        <w:rPr>
          <w:rFonts w:hint="eastAsia" w:ascii="仿宋_GB2312" w:hAnsi="宋体" w:eastAsia="仿宋_GB2312" w:cs="Times New Roman"/>
          <w:b/>
          <w:bCs w:val="0"/>
          <w:color w:val="auto"/>
          <w:sz w:val="24"/>
          <w:szCs w:val="24"/>
          <w:highlight w:val="none"/>
          <w:lang w:val="en-US" w:eastAsia="zh-CN"/>
        </w:rPr>
        <w:t>本专业方向以培养面向未来产业格局的文化创新人才为目标，面对地方经济与文化产业转型升级的需求，建构具有传统与现代文化设计视野与创新能力，能够从事相关产品领域的设计与开发工作的</w:t>
      </w:r>
      <w:r>
        <w:rPr>
          <w:rFonts w:hint="eastAsia" w:ascii="仿宋_GB2312" w:hAnsi="宋体" w:eastAsia="仿宋_GB2312" w:cs="Times New Roman"/>
          <w:b/>
          <w:bCs w:val="0"/>
          <w:color w:val="auto"/>
          <w:sz w:val="24"/>
          <w:szCs w:val="24"/>
          <w:highlight w:val="none"/>
        </w:rPr>
        <w:t>复合型应用设计专门人才</w:t>
      </w:r>
      <w:r>
        <w:rPr>
          <w:rFonts w:hint="eastAsia" w:ascii="仿宋_GB2312" w:hAnsi="宋体" w:eastAsia="仿宋_GB2312" w:cs="Times New Roman"/>
          <w:b/>
          <w:bCs w:val="0"/>
          <w:color w:val="auto"/>
          <w:sz w:val="24"/>
          <w:szCs w:val="24"/>
          <w:highlight w:val="none"/>
          <w:lang w:eastAsia="zh-CN"/>
        </w:rPr>
        <w:t>，</w:t>
      </w:r>
      <w:r>
        <w:rPr>
          <w:rFonts w:hint="eastAsia" w:ascii="仿宋_GB2312" w:hAnsi="宋体" w:eastAsia="仿宋_GB2312" w:cs="Times New Roman"/>
          <w:b/>
          <w:bCs w:val="0"/>
          <w:color w:val="auto"/>
          <w:sz w:val="24"/>
          <w:szCs w:val="24"/>
          <w:highlight w:val="none"/>
          <w:lang w:val="en-US" w:eastAsia="zh-CN"/>
        </w:rPr>
        <w:t>传承并创新发展中国传统文化和传统工艺。</w:t>
      </w:r>
    </w:p>
    <w:p>
      <w:pPr>
        <w:spacing w:line="240" w:lineRule="auto"/>
        <w:ind w:right="210"/>
        <w:outlineLvl w:val="0"/>
        <w:rPr>
          <w:rFonts w:ascii="黑体" w:hAnsi="黑体" w:eastAsia="黑体" w:cs="Times New Roman"/>
          <w:b/>
          <w:bCs w:val="0"/>
          <w:color w:val="auto"/>
          <w:kern w:val="0"/>
          <w:sz w:val="28"/>
          <w:szCs w:val="28"/>
          <w:highlight w:val="none"/>
        </w:rPr>
      </w:pPr>
      <w:r>
        <w:rPr>
          <w:rFonts w:hint="eastAsia" w:ascii="黑体" w:hAnsi="黑体" w:eastAsia="黑体" w:cs="Times New Roman"/>
          <w:b/>
          <w:bCs w:val="0"/>
          <w:color w:val="auto"/>
          <w:kern w:val="0"/>
          <w:sz w:val="28"/>
          <w:szCs w:val="28"/>
          <w:highlight w:val="none"/>
        </w:rPr>
        <w:t>五、学习方式及年限</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default" w:ascii="仿宋_GB2312" w:hAnsi="宋体" w:eastAsia="仿宋_GB2312" w:cs="Times New Roman"/>
          <w:b/>
          <w:bCs w:val="0"/>
          <w:color w:val="auto"/>
          <w:sz w:val="24"/>
          <w:szCs w:val="24"/>
          <w:highlight w:val="none"/>
          <w:lang w:val="en-US" w:eastAsia="zh-CN"/>
        </w:rPr>
      </w:pPr>
      <w:r>
        <w:rPr>
          <w:rFonts w:hint="default" w:ascii="仿宋_GB2312" w:hAnsi="宋体" w:eastAsia="仿宋_GB2312" w:cs="Times New Roman"/>
          <w:b/>
          <w:bCs w:val="0"/>
          <w:color w:val="auto"/>
          <w:sz w:val="24"/>
          <w:szCs w:val="24"/>
          <w:highlight w:val="none"/>
          <w:lang w:val="en-US" w:eastAsia="zh-CN"/>
        </w:rPr>
        <w:t>1</w:t>
      </w:r>
      <w:r>
        <w:rPr>
          <w:rFonts w:hint="eastAsia" w:ascii="仿宋_GB2312" w:hAnsi="宋体" w:eastAsia="仿宋_GB2312" w:cs="Times New Roman"/>
          <w:b/>
          <w:bCs w:val="0"/>
          <w:color w:val="auto"/>
          <w:sz w:val="24"/>
          <w:szCs w:val="24"/>
          <w:highlight w:val="none"/>
          <w:lang w:val="en-US" w:eastAsia="zh-CN"/>
        </w:rPr>
        <w:t>．</w:t>
      </w:r>
      <w:r>
        <w:rPr>
          <w:rFonts w:hint="default" w:ascii="仿宋_GB2312" w:hAnsi="宋体" w:eastAsia="仿宋_GB2312" w:cs="Times New Roman"/>
          <w:b/>
          <w:bCs w:val="0"/>
          <w:color w:val="auto"/>
          <w:sz w:val="24"/>
          <w:szCs w:val="24"/>
          <w:highlight w:val="none"/>
          <w:lang w:val="en-US" w:eastAsia="zh-CN"/>
        </w:rPr>
        <w:t>采用全日制学习方式，学制为</w:t>
      </w:r>
      <w:r>
        <w:rPr>
          <w:rFonts w:hint="eastAsia" w:ascii="仿宋_GB2312" w:hAnsi="宋体" w:eastAsia="仿宋_GB2312" w:cs="Times New Roman"/>
          <w:b/>
          <w:bCs w:val="0"/>
          <w:color w:val="auto"/>
          <w:sz w:val="24"/>
          <w:szCs w:val="24"/>
          <w:highlight w:val="none"/>
          <w:lang w:val="en-US" w:eastAsia="zh-CN"/>
        </w:rPr>
        <w:t>三</w:t>
      </w:r>
      <w:r>
        <w:rPr>
          <w:rFonts w:hint="default" w:ascii="仿宋_GB2312" w:hAnsi="宋体" w:eastAsia="仿宋_GB2312" w:cs="Times New Roman"/>
          <w:b/>
          <w:bCs w:val="0"/>
          <w:color w:val="auto"/>
          <w:sz w:val="24"/>
          <w:szCs w:val="24"/>
          <w:highlight w:val="none"/>
          <w:lang w:val="en-US" w:eastAsia="zh-CN"/>
        </w:rPr>
        <w:t>年。</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default" w:ascii="仿宋_GB2312" w:hAnsi="宋体" w:eastAsia="仿宋_GB2312" w:cs="Times New Roman"/>
          <w:b/>
          <w:bCs w:val="0"/>
          <w:color w:val="auto"/>
          <w:sz w:val="24"/>
          <w:szCs w:val="24"/>
          <w:highlight w:val="none"/>
          <w:lang w:val="en-US" w:eastAsia="zh-CN"/>
        </w:rPr>
      </w:pPr>
      <w:r>
        <w:rPr>
          <w:rFonts w:hint="default" w:ascii="仿宋_GB2312" w:hAnsi="宋体" w:eastAsia="仿宋_GB2312" w:cs="Times New Roman"/>
          <w:b/>
          <w:bCs w:val="0"/>
          <w:color w:val="auto"/>
          <w:sz w:val="24"/>
          <w:szCs w:val="24"/>
          <w:highlight w:val="none"/>
          <w:lang w:val="en-US" w:eastAsia="zh-CN"/>
        </w:rPr>
        <w:t>2</w:t>
      </w:r>
      <w:r>
        <w:rPr>
          <w:rFonts w:hint="eastAsia" w:ascii="仿宋_GB2312" w:hAnsi="宋体" w:eastAsia="仿宋_GB2312" w:cs="Times New Roman"/>
          <w:b/>
          <w:bCs w:val="0"/>
          <w:color w:val="auto"/>
          <w:sz w:val="24"/>
          <w:szCs w:val="24"/>
          <w:highlight w:val="none"/>
          <w:lang w:val="en-US" w:eastAsia="zh-CN"/>
        </w:rPr>
        <w:t>．</w:t>
      </w:r>
      <w:r>
        <w:rPr>
          <w:rFonts w:hint="default" w:ascii="仿宋_GB2312" w:hAnsi="宋体" w:eastAsia="仿宋_GB2312" w:cs="Times New Roman"/>
          <w:b/>
          <w:bCs w:val="0"/>
          <w:color w:val="auto"/>
          <w:sz w:val="24"/>
          <w:szCs w:val="24"/>
          <w:highlight w:val="none"/>
          <w:lang w:val="en-US" w:eastAsia="zh-CN"/>
        </w:rPr>
        <w:t>第</w:t>
      </w:r>
      <w:r>
        <w:rPr>
          <w:rFonts w:hint="eastAsia" w:ascii="仿宋_GB2312" w:hAnsi="宋体" w:eastAsia="仿宋_GB2312" w:cs="Times New Roman"/>
          <w:b/>
          <w:bCs w:val="0"/>
          <w:color w:val="auto"/>
          <w:sz w:val="24"/>
          <w:szCs w:val="24"/>
          <w:highlight w:val="none"/>
          <w:lang w:val="en-US" w:eastAsia="zh-CN"/>
        </w:rPr>
        <w:t>一、第二学</w:t>
      </w:r>
      <w:r>
        <w:rPr>
          <w:rFonts w:hint="default" w:ascii="仿宋_GB2312" w:hAnsi="宋体" w:eastAsia="仿宋_GB2312" w:cs="Times New Roman"/>
          <w:b/>
          <w:bCs w:val="0"/>
          <w:color w:val="auto"/>
          <w:sz w:val="24"/>
          <w:szCs w:val="24"/>
          <w:highlight w:val="none"/>
          <w:lang w:val="en-US" w:eastAsia="zh-CN"/>
        </w:rPr>
        <w:t>年学习</w:t>
      </w:r>
      <w:r>
        <w:rPr>
          <w:rFonts w:hint="eastAsia" w:ascii="仿宋_GB2312" w:hAnsi="宋体" w:eastAsia="仿宋_GB2312" w:cs="Times New Roman"/>
          <w:b/>
          <w:bCs w:val="0"/>
          <w:color w:val="auto"/>
          <w:sz w:val="24"/>
          <w:szCs w:val="24"/>
          <w:highlight w:val="none"/>
          <w:lang w:val="en-US" w:eastAsia="zh-CN"/>
        </w:rPr>
        <w:t>专业</w:t>
      </w:r>
      <w:r>
        <w:rPr>
          <w:rFonts w:hint="default" w:ascii="仿宋_GB2312" w:hAnsi="宋体" w:eastAsia="仿宋_GB2312" w:cs="Times New Roman"/>
          <w:b/>
          <w:bCs w:val="0"/>
          <w:color w:val="auto"/>
          <w:sz w:val="24"/>
          <w:szCs w:val="24"/>
          <w:highlight w:val="none"/>
          <w:lang w:val="en-US" w:eastAsia="zh-CN"/>
        </w:rPr>
        <w:t>理论课程</w:t>
      </w:r>
      <w:r>
        <w:rPr>
          <w:rFonts w:hint="eastAsia" w:ascii="仿宋_GB2312" w:hAnsi="宋体" w:eastAsia="仿宋_GB2312" w:cs="Times New Roman"/>
          <w:b/>
          <w:bCs w:val="0"/>
          <w:color w:val="auto"/>
          <w:sz w:val="24"/>
          <w:szCs w:val="24"/>
          <w:highlight w:val="none"/>
          <w:lang w:val="en-US" w:eastAsia="zh-CN"/>
        </w:rPr>
        <w:t>和专业实践课程</w:t>
      </w:r>
      <w:r>
        <w:rPr>
          <w:rFonts w:hint="default" w:ascii="仿宋_GB2312" w:hAnsi="宋体" w:eastAsia="仿宋_GB2312" w:cs="Times New Roman"/>
          <w:b/>
          <w:bCs w:val="0"/>
          <w:color w:val="auto"/>
          <w:sz w:val="24"/>
          <w:szCs w:val="24"/>
          <w:highlight w:val="none"/>
          <w:lang w:val="en-US" w:eastAsia="zh-CN"/>
        </w:rPr>
        <w:t>，修满规定的学分，在第</w:t>
      </w:r>
      <w:r>
        <w:rPr>
          <w:rFonts w:hint="eastAsia" w:ascii="仿宋_GB2312" w:hAnsi="宋体" w:eastAsia="仿宋_GB2312" w:cs="Times New Roman"/>
          <w:b/>
          <w:bCs w:val="0"/>
          <w:color w:val="auto"/>
          <w:sz w:val="24"/>
          <w:szCs w:val="24"/>
          <w:highlight w:val="none"/>
          <w:lang w:val="en-US" w:eastAsia="zh-CN"/>
        </w:rPr>
        <w:t>二</w:t>
      </w:r>
      <w:r>
        <w:rPr>
          <w:rFonts w:hint="default" w:ascii="仿宋_GB2312" w:hAnsi="宋体" w:eastAsia="仿宋_GB2312" w:cs="Times New Roman"/>
          <w:b/>
          <w:bCs w:val="0"/>
          <w:color w:val="auto"/>
          <w:sz w:val="24"/>
          <w:szCs w:val="24"/>
          <w:highlight w:val="none"/>
          <w:lang w:val="en-US" w:eastAsia="zh-CN"/>
        </w:rPr>
        <w:t>年后进行专业艺术设计实践，</w:t>
      </w:r>
      <w:r>
        <w:rPr>
          <w:rFonts w:hint="eastAsia" w:ascii="仿宋_GB2312" w:hAnsi="宋体" w:eastAsia="仿宋_GB2312" w:cs="Times New Roman"/>
          <w:b/>
          <w:bCs w:val="0"/>
          <w:color w:val="auto"/>
          <w:sz w:val="24"/>
          <w:szCs w:val="24"/>
          <w:highlight w:val="none"/>
          <w:lang w:val="en-US" w:eastAsia="zh-CN"/>
        </w:rPr>
        <w:t>参加艺术展览，</w:t>
      </w:r>
      <w:r>
        <w:rPr>
          <w:rFonts w:hint="default" w:ascii="仿宋_GB2312" w:hAnsi="宋体" w:eastAsia="仿宋_GB2312" w:cs="Times New Roman"/>
          <w:b/>
          <w:bCs w:val="0"/>
          <w:color w:val="auto"/>
          <w:sz w:val="24"/>
          <w:szCs w:val="24"/>
          <w:highlight w:val="none"/>
          <w:lang w:val="en-US" w:eastAsia="zh-CN"/>
        </w:rPr>
        <w:t>完成学位论文</w:t>
      </w:r>
      <w:r>
        <w:rPr>
          <w:rFonts w:hint="eastAsia" w:ascii="仿宋_GB2312" w:hAnsi="宋体" w:eastAsia="仿宋_GB2312" w:cs="Times New Roman"/>
          <w:b/>
          <w:bCs w:val="0"/>
          <w:color w:val="auto"/>
          <w:sz w:val="24"/>
          <w:szCs w:val="24"/>
          <w:highlight w:val="none"/>
          <w:lang w:val="en-US" w:eastAsia="zh-CN"/>
        </w:rPr>
        <w:t>，</w:t>
      </w:r>
      <w:r>
        <w:rPr>
          <w:rFonts w:hint="default" w:ascii="仿宋_GB2312" w:hAnsi="宋体" w:eastAsia="仿宋_GB2312" w:cs="Times New Roman"/>
          <w:b/>
          <w:bCs w:val="0"/>
          <w:color w:val="auto"/>
          <w:sz w:val="24"/>
          <w:szCs w:val="24"/>
          <w:highlight w:val="none"/>
          <w:lang w:val="en-US" w:eastAsia="zh-CN"/>
        </w:rPr>
        <w:t>结合专业实践成果参加毕业考核，毕业考核包含设计实践展示和学位论文答辩。</w:t>
      </w:r>
    </w:p>
    <w:p>
      <w:pPr>
        <w:spacing w:line="240" w:lineRule="auto"/>
        <w:ind w:right="210"/>
        <w:outlineLvl w:val="0"/>
        <w:rPr>
          <w:rFonts w:ascii="黑体" w:hAnsi="黑体" w:eastAsia="黑体" w:cs="Times New Roman"/>
          <w:b/>
          <w:bCs w:val="0"/>
          <w:color w:val="auto"/>
          <w:kern w:val="0"/>
          <w:sz w:val="28"/>
          <w:szCs w:val="28"/>
          <w:highlight w:val="none"/>
        </w:rPr>
      </w:pPr>
      <w:r>
        <w:rPr>
          <w:rFonts w:hint="eastAsia" w:ascii="黑体" w:hAnsi="黑体" w:eastAsia="黑体" w:cs="Times New Roman"/>
          <w:b/>
          <w:bCs w:val="0"/>
          <w:color w:val="auto"/>
          <w:kern w:val="0"/>
          <w:sz w:val="28"/>
          <w:szCs w:val="28"/>
          <w:highlight w:val="none"/>
        </w:rPr>
        <w:t>六</w:t>
      </w:r>
      <w:r>
        <w:rPr>
          <w:rFonts w:ascii="黑体" w:hAnsi="黑体" w:eastAsia="黑体" w:cs="Times New Roman"/>
          <w:b/>
          <w:bCs w:val="0"/>
          <w:color w:val="auto"/>
          <w:kern w:val="0"/>
          <w:sz w:val="28"/>
          <w:szCs w:val="28"/>
          <w:highlight w:val="none"/>
        </w:rPr>
        <w:t>、培养方式</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default" w:ascii="仿宋_GB2312" w:hAnsi="宋体" w:eastAsia="仿宋_GB2312" w:cs="Times New Roman"/>
          <w:b/>
          <w:bCs w:val="0"/>
          <w:color w:val="auto"/>
          <w:sz w:val="24"/>
          <w:szCs w:val="24"/>
          <w:highlight w:val="none"/>
          <w:lang w:val="en-US" w:eastAsia="zh-CN"/>
        </w:rPr>
      </w:pPr>
      <w:r>
        <w:rPr>
          <w:rFonts w:hint="eastAsia" w:ascii="仿宋_GB2312" w:hAnsi="宋体" w:eastAsia="仿宋_GB2312" w:cs="Times New Roman"/>
          <w:b/>
          <w:bCs w:val="0"/>
          <w:color w:val="auto"/>
          <w:sz w:val="24"/>
          <w:szCs w:val="24"/>
          <w:highlight w:val="none"/>
          <w:lang w:val="en-US" w:eastAsia="zh-CN"/>
        </w:rPr>
        <w:t>1．实行导师负责制及导师指导集体培养相结合的方法。导师根据培养方案的要求和因材施教的原则，从学生的实际情况出发，制订出针对研究生个人的培养计划报主管部门备案。主管部门按照培养方案的有关要求，定期检查培养计划的执行情况。</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default" w:ascii="仿宋_GB2312" w:hAnsi="宋体" w:eastAsia="仿宋_GB2312" w:cs="Times New Roman"/>
          <w:b/>
          <w:bCs w:val="0"/>
          <w:color w:val="auto"/>
          <w:sz w:val="24"/>
          <w:szCs w:val="24"/>
          <w:highlight w:val="none"/>
          <w:lang w:val="en-US" w:eastAsia="zh-CN"/>
        </w:rPr>
      </w:pPr>
      <w:r>
        <w:rPr>
          <w:rFonts w:hint="eastAsia" w:ascii="仿宋_GB2312" w:hAnsi="宋体" w:eastAsia="仿宋_GB2312" w:cs="Times New Roman"/>
          <w:b/>
          <w:bCs w:val="0"/>
          <w:color w:val="auto"/>
          <w:sz w:val="24"/>
          <w:szCs w:val="24"/>
          <w:highlight w:val="none"/>
          <w:lang w:val="en-US" w:eastAsia="zh-CN"/>
        </w:rPr>
        <w:t>2．实行校内校外双导师制，采取校内导师和企（行）业导师相结合、单独指导和集体指导相结合、教师面授、学生自学、共同讨论和设计实践相结合的培养方式。</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default" w:ascii="仿宋_GB2312" w:hAnsi="宋体" w:eastAsia="仿宋_GB2312" w:cs="Times New Roman"/>
          <w:b/>
          <w:bCs w:val="0"/>
          <w:color w:val="auto"/>
          <w:sz w:val="24"/>
          <w:szCs w:val="24"/>
          <w:highlight w:val="none"/>
          <w:lang w:val="en-US" w:eastAsia="zh-CN"/>
        </w:rPr>
      </w:pPr>
      <w:r>
        <w:rPr>
          <w:rFonts w:hint="eastAsia" w:ascii="仿宋_GB2312" w:hAnsi="宋体" w:eastAsia="仿宋_GB2312" w:cs="Times New Roman"/>
          <w:b/>
          <w:bCs w:val="0"/>
          <w:color w:val="auto"/>
          <w:sz w:val="24"/>
          <w:szCs w:val="24"/>
          <w:highlight w:val="none"/>
          <w:lang w:val="en-US" w:eastAsia="zh-CN"/>
        </w:rPr>
        <w:t>3．导师要坚持教书育人、立德树人，要按培养计划的内容制定每学期的学习计划，学生撰写周</w:t>
      </w:r>
      <w:r>
        <w:rPr>
          <w:rFonts w:hint="eastAsia" w:ascii="仿宋_GB2312" w:hAnsi="宋体" w:eastAsia="仿宋_GB2312" w:cs="Times New Roman"/>
          <w:b/>
          <w:bCs w:val="0"/>
          <w:color w:val="auto"/>
          <w:sz w:val="24"/>
          <w:szCs w:val="24"/>
          <w:highlight w:val="none"/>
          <w:lang w:val="en-US" w:eastAsia="zh-Hans"/>
        </w:rPr>
        <w:t>记</w:t>
      </w:r>
      <w:r>
        <w:rPr>
          <w:rFonts w:hint="eastAsia" w:ascii="仿宋_GB2312" w:hAnsi="宋体" w:eastAsia="仿宋_GB2312" w:cs="Times New Roman"/>
          <w:b/>
          <w:bCs w:val="0"/>
          <w:color w:val="auto"/>
          <w:sz w:val="24"/>
          <w:szCs w:val="24"/>
          <w:highlight w:val="none"/>
          <w:lang w:val="en-US" w:eastAsia="zh-CN"/>
        </w:rPr>
        <w:t>，导师定期审阅。</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default" w:ascii="仿宋_GB2312" w:hAnsi="宋体" w:eastAsia="仿宋_GB2312" w:cs="Times New Roman"/>
          <w:b/>
          <w:bCs w:val="0"/>
          <w:color w:val="auto"/>
          <w:sz w:val="24"/>
          <w:szCs w:val="24"/>
          <w:highlight w:val="none"/>
          <w:lang w:val="en-US" w:eastAsia="zh-CN"/>
        </w:rPr>
      </w:pPr>
      <w:r>
        <w:rPr>
          <w:rFonts w:hint="eastAsia" w:ascii="仿宋_GB2312" w:hAnsi="宋体" w:eastAsia="仿宋_GB2312" w:cs="Times New Roman"/>
          <w:b/>
          <w:bCs w:val="0"/>
          <w:color w:val="auto"/>
          <w:sz w:val="24"/>
          <w:szCs w:val="24"/>
          <w:highlight w:val="none"/>
          <w:lang w:val="en-US" w:eastAsia="zh-CN"/>
        </w:rPr>
        <w:t>4．专业课程学习与艺术设计实践紧密结合，吸收不同学科领域的专家、学者和实践领域有丰富经验的专业人员，共同承担研究生的培养工作。注重培养实践研究和创新能力，增长实际工作经验，缩短就业适应期限，提高专业素养和就业创业能力。</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default" w:ascii="仿宋_GB2312" w:hAnsi="宋体" w:eastAsia="仿宋_GB2312" w:cs="Times New Roman"/>
          <w:b/>
          <w:bCs w:val="0"/>
          <w:color w:val="auto"/>
          <w:sz w:val="24"/>
          <w:szCs w:val="24"/>
          <w:highlight w:val="none"/>
          <w:lang w:val="en-US" w:eastAsia="zh-CN"/>
        </w:rPr>
      </w:pPr>
      <w:r>
        <w:rPr>
          <w:rFonts w:hint="eastAsia" w:ascii="仿宋_GB2312" w:hAnsi="宋体" w:eastAsia="仿宋_GB2312" w:cs="Times New Roman"/>
          <w:b/>
          <w:bCs w:val="0"/>
          <w:color w:val="auto"/>
          <w:sz w:val="24"/>
          <w:szCs w:val="24"/>
          <w:highlight w:val="none"/>
          <w:lang w:val="en-US" w:eastAsia="zh-CN"/>
        </w:rPr>
        <w:t>5．授课教师对所开设课程精心准备，对学生的作业和作品严格要求。无论以何种形式授课，课程结束时均须按规定进行认真的考核并评定成绩。考核分为考试和考查两种形式。</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default" w:ascii="仿宋_GB2312" w:hAnsi="宋体" w:eastAsia="仿宋_GB2312" w:cs="Times New Roman"/>
          <w:b/>
          <w:bCs w:val="0"/>
          <w:color w:val="auto"/>
          <w:sz w:val="24"/>
          <w:szCs w:val="24"/>
          <w:highlight w:val="none"/>
          <w:lang w:val="en-US" w:eastAsia="zh-CN"/>
        </w:rPr>
      </w:pPr>
      <w:r>
        <w:rPr>
          <w:rFonts w:hint="eastAsia" w:ascii="仿宋_GB2312" w:hAnsi="宋体" w:eastAsia="仿宋_GB2312" w:cs="Times New Roman"/>
          <w:b/>
          <w:bCs w:val="0"/>
          <w:color w:val="auto"/>
          <w:sz w:val="24"/>
          <w:szCs w:val="24"/>
          <w:highlight w:val="none"/>
          <w:lang w:val="en-US" w:eastAsia="zh-CN"/>
        </w:rPr>
        <w:t>6．学院建立健全本学科研究生管理制度，合理安排教学计划和其他各项活动，加强研究生的思想政治教育，要求研究生学好政治理论课，积极参加政治学习和公益劳动等活动，培养研究生理论联系实际的精神和严谨的治学态度。</w:t>
      </w:r>
    </w:p>
    <w:p>
      <w:pPr>
        <w:spacing w:line="240" w:lineRule="auto"/>
        <w:ind w:right="210"/>
        <w:outlineLvl w:val="0"/>
        <w:rPr>
          <w:rFonts w:hint="eastAsia" w:ascii="黑体" w:hAnsi="黑体" w:eastAsia="黑体" w:cs="Times New Roman"/>
          <w:b/>
          <w:bCs w:val="0"/>
          <w:color w:val="auto"/>
          <w:kern w:val="0"/>
          <w:sz w:val="28"/>
          <w:szCs w:val="28"/>
          <w:highlight w:val="none"/>
          <w:lang w:eastAsia="zh-CN"/>
        </w:rPr>
      </w:pPr>
      <w:r>
        <w:rPr>
          <w:rFonts w:hint="eastAsia" w:ascii="黑体" w:hAnsi="黑体" w:eastAsia="黑体" w:cs="Times New Roman"/>
          <w:b/>
          <w:bCs w:val="0"/>
          <w:color w:val="auto"/>
          <w:kern w:val="0"/>
          <w:sz w:val="28"/>
          <w:szCs w:val="28"/>
          <w:highlight w:val="none"/>
        </w:rPr>
        <w:t>七</w:t>
      </w:r>
      <w:r>
        <w:rPr>
          <w:rFonts w:ascii="黑体" w:hAnsi="黑体" w:eastAsia="黑体" w:cs="Times New Roman"/>
          <w:b/>
          <w:bCs w:val="0"/>
          <w:color w:val="auto"/>
          <w:kern w:val="0"/>
          <w:sz w:val="28"/>
          <w:szCs w:val="28"/>
          <w:highlight w:val="none"/>
        </w:rPr>
        <w:t>、课程设置</w:t>
      </w:r>
      <w:r>
        <w:rPr>
          <w:rFonts w:hint="eastAsia" w:ascii="黑体" w:hAnsi="黑体" w:eastAsia="黑体" w:cs="Times New Roman"/>
          <w:b/>
          <w:bCs w:val="0"/>
          <w:color w:val="auto"/>
          <w:kern w:val="0"/>
          <w:sz w:val="28"/>
          <w:szCs w:val="28"/>
          <w:highlight w:val="none"/>
          <w:lang w:eastAsia="zh-CN"/>
        </w:rPr>
        <w:t>与学分</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lang w:val="en-US" w:eastAsia="zh-CN"/>
        </w:rPr>
      </w:pPr>
      <w:r>
        <w:rPr>
          <w:rFonts w:hint="eastAsia" w:ascii="仿宋_GB2312" w:hAnsi="宋体" w:eastAsia="仿宋_GB2312" w:cs="Times New Roman"/>
          <w:b/>
          <w:bCs w:val="0"/>
          <w:color w:val="auto"/>
          <w:sz w:val="24"/>
          <w:szCs w:val="24"/>
          <w:highlight w:val="none"/>
          <w:lang w:val="en-US" w:eastAsia="zh-CN"/>
        </w:rPr>
        <w:t>1．课程设置分为必修课、选修课和必修环节三个部分，其中必修课包括公共必修课、专业必修课，必修环节包括培养环节和集中性实践环节。</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lang w:val="en-US" w:eastAsia="zh-CN"/>
        </w:rPr>
      </w:pPr>
      <w:r>
        <w:rPr>
          <w:rFonts w:hint="eastAsia" w:ascii="仿宋_GB2312" w:hAnsi="宋体" w:eastAsia="仿宋_GB2312" w:cs="Times New Roman"/>
          <w:b/>
          <w:bCs w:val="0"/>
          <w:color w:val="auto"/>
          <w:sz w:val="24"/>
          <w:szCs w:val="24"/>
          <w:highlight w:val="none"/>
          <w:lang w:val="en-US" w:eastAsia="zh-CN"/>
        </w:rPr>
        <w:t>公共必修课着重于提高研究生的综合素质，拓展专业视野，掌握专业实践研究的基本思路和方法，提升作品鉴赏能力。专业必修课着重于提高研究生专业技能水平，加深、拓宽研究生的专业知识，提高研究生的综合艺术修养以及在作品创意表达和风格呈现方面的综合能力。专业选修课内容广泛、形式多样，为学生的个性化培养和跨专业选择提供空间，有利于增强学生适应社会的能力。必修环节中的培养环节着重于指导研究生进行开题报告的撰写，中期作品的报告，毕业作品的汇报展和各类自主学习活动等；集中性实践环节着重于指导研究</w:t>
      </w:r>
      <w:r>
        <w:rPr>
          <w:rFonts w:hint="eastAsia" w:ascii="仿宋_GB2312" w:hAnsi="宋体" w:eastAsia="仿宋_GB2312" w:cs="Times New Roman"/>
          <w:b/>
          <w:bCs w:val="0"/>
          <w:color w:val="auto"/>
          <w:sz w:val="24"/>
          <w:szCs w:val="24"/>
          <w:highlight w:val="none"/>
          <w:lang w:val="en-US" w:eastAsia="zh-Hans"/>
        </w:rPr>
        <w:t>生</w:t>
      </w:r>
      <w:r>
        <w:rPr>
          <w:rFonts w:hint="eastAsia" w:ascii="仿宋_GB2312" w:hAnsi="宋体" w:eastAsia="仿宋_GB2312" w:cs="Times New Roman"/>
          <w:b/>
          <w:bCs w:val="0"/>
          <w:color w:val="auto"/>
          <w:sz w:val="24"/>
          <w:szCs w:val="24"/>
          <w:highlight w:val="none"/>
          <w:lang w:val="en-US" w:eastAsia="zh-CN"/>
        </w:rPr>
        <w:t>进行专业考察，设计专业实践，设计</w:t>
      </w:r>
      <w:r>
        <w:rPr>
          <w:rFonts w:hint="eastAsia" w:ascii="仿宋_GB2312" w:hAnsi="宋体" w:eastAsia="仿宋_GB2312" w:cs="Times New Roman"/>
          <w:b/>
          <w:bCs w:val="0"/>
          <w:color w:val="auto"/>
          <w:sz w:val="24"/>
          <w:szCs w:val="24"/>
          <w:highlight w:val="none"/>
          <w:lang w:val="en-US" w:eastAsia="zh-Hans"/>
        </w:rPr>
        <w:t>调研</w:t>
      </w:r>
      <w:r>
        <w:rPr>
          <w:rFonts w:hint="eastAsia" w:ascii="仿宋_GB2312" w:hAnsi="宋体" w:eastAsia="仿宋_GB2312" w:cs="Times New Roman"/>
          <w:b/>
          <w:bCs w:val="0"/>
          <w:color w:val="auto"/>
          <w:sz w:val="24"/>
          <w:szCs w:val="24"/>
          <w:highlight w:val="none"/>
          <w:lang w:val="en-US" w:eastAsia="zh-CN"/>
        </w:rPr>
        <w:t>和设计实习等，培养研究生开阔艺术眼界，了解艺术前沿，综合运用专业知识和技能进行设计实践的能力。</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lang w:val="en-US" w:eastAsia="zh-CN"/>
        </w:rPr>
      </w:pPr>
      <w:r>
        <w:rPr>
          <w:rFonts w:hint="eastAsia" w:ascii="仿宋_GB2312" w:hAnsi="宋体" w:eastAsia="仿宋_GB2312" w:cs="Times New Roman"/>
          <w:b/>
          <w:bCs w:val="0"/>
          <w:color w:val="auto"/>
          <w:sz w:val="24"/>
          <w:szCs w:val="24"/>
          <w:highlight w:val="none"/>
          <w:lang w:val="en-US" w:eastAsia="zh-CN"/>
        </w:rPr>
        <w:t>2．课程设置总学分57学分。其构成是：公共必修课9学分，专业必修课40学分，选修课学分不少于8学分。所有</w:t>
      </w:r>
      <w:r>
        <w:rPr>
          <w:rFonts w:hint="eastAsia" w:ascii="仿宋_GB2312" w:hAnsi="宋体" w:eastAsia="仿宋_GB2312" w:cs="Times New Roman"/>
          <w:b/>
          <w:bCs w:val="0"/>
          <w:color w:val="auto"/>
          <w:sz w:val="24"/>
          <w:szCs w:val="24"/>
          <w:highlight w:val="none"/>
          <w:lang w:val="en-US" w:eastAsia="zh-Hans"/>
        </w:rPr>
        <w:t>必修</w:t>
      </w:r>
      <w:r>
        <w:rPr>
          <w:rFonts w:hint="eastAsia" w:ascii="仿宋_GB2312" w:hAnsi="宋体" w:eastAsia="仿宋_GB2312" w:cs="Times New Roman"/>
          <w:b/>
          <w:bCs w:val="0"/>
          <w:color w:val="auto"/>
          <w:sz w:val="24"/>
          <w:szCs w:val="24"/>
          <w:highlight w:val="none"/>
          <w:lang w:val="en-US" w:eastAsia="zh-CN"/>
        </w:rPr>
        <w:t>课程均制定教学大纲，课程教学大纲包括课程教学目标、课程内容、主要授课形式、考核形式及要求、参考书目等。</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ascii="仿宋_GB2312" w:hAnsi="宋体" w:eastAsia="仿宋_GB2312" w:cs="Times New Roman"/>
          <w:b/>
          <w:bCs w:val="0"/>
          <w:color w:val="auto"/>
          <w:sz w:val="24"/>
          <w:szCs w:val="24"/>
          <w:highlight w:val="none"/>
        </w:rPr>
      </w:pPr>
      <w:r>
        <w:rPr>
          <w:rFonts w:hint="eastAsia" w:ascii="仿宋_GB2312" w:hAnsi="宋体" w:eastAsia="仿宋_GB2312" w:cs="Times New Roman"/>
          <w:b/>
          <w:bCs w:val="0"/>
          <w:color w:val="auto"/>
          <w:sz w:val="24"/>
          <w:szCs w:val="24"/>
          <w:highlight w:val="none"/>
          <w:lang w:val="en-US" w:eastAsia="zh-CN"/>
        </w:rPr>
        <w:t>3．艺术设计领域艺术硕士研究生课程设置，详见表《艺术设计领域艺术硕士研究生课程设置》（附件1、附件2、附件3）。</w:t>
      </w:r>
    </w:p>
    <w:p>
      <w:pPr>
        <w:shd w:val="clear" w:color="auto" w:fill="FFFFFF"/>
        <w:spacing w:line="240" w:lineRule="auto"/>
        <w:outlineLvl w:val="0"/>
        <w:rPr>
          <w:rFonts w:ascii="微软雅黑" w:hAnsi="微软雅黑" w:cs="宋体"/>
          <w:b/>
          <w:bCs w:val="0"/>
          <w:color w:val="auto"/>
          <w:szCs w:val="21"/>
          <w:highlight w:val="none"/>
        </w:rPr>
      </w:pPr>
      <w:r>
        <w:rPr>
          <w:rFonts w:hint="eastAsia" w:ascii="黑体" w:hAnsi="黑体" w:eastAsia="黑体" w:cs="Times New Roman"/>
          <w:b/>
          <w:bCs w:val="0"/>
          <w:color w:val="auto"/>
          <w:kern w:val="0"/>
          <w:sz w:val="28"/>
          <w:szCs w:val="28"/>
          <w:highlight w:val="none"/>
        </w:rPr>
        <w:t>八</w:t>
      </w:r>
      <w:r>
        <w:rPr>
          <w:rFonts w:ascii="黑体" w:hAnsi="黑体" w:eastAsia="黑体" w:cs="Times New Roman"/>
          <w:b/>
          <w:bCs w:val="0"/>
          <w:color w:val="auto"/>
          <w:kern w:val="0"/>
          <w:sz w:val="28"/>
          <w:szCs w:val="28"/>
          <w:highlight w:val="none"/>
        </w:rPr>
        <w:t>、</w:t>
      </w:r>
      <w:r>
        <w:rPr>
          <w:rFonts w:hint="eastAsia" w:ascii="黑体" w:hAnsi="黑体" w:eastAsia="黑体"/>
          <w:b/>
          <w:bCs w:val="0"/>
          <w:color w:val="auto"/>
          <w:sz w:val="28"/>
          <w:szCs w:val="28"/>
          <w:highlight w:val="none"/>
        </w:rPr>
        <w:t>实践环节与培养环节</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lang w:val="en-US" w:eastAsia="zh-CN"/>
        </w:rPr>
      </w:pPr>
      <w:r>
        <w:rPr>
          <w:rFonts w:hint="eastAsia" w:ascii="仿宋_GB2312" w:hAnsi="宋体" w:eastAsia="仿宋_GB2312" w:cs="Times New Roman"/>
          <w:b/>
          <w:bCs w:val="0"/>
          <w:color w:val="auto"/>
          <w:sz w:val="24"/>
          <w:szCs w:val="24"/>
          <w:highlight w:val="none"/>
          <w:lang w:val="en-US" w:eastAsia="zh-CN"/>
        </w:rPr>
        <w:t>1．专业考察：需由专业教师带队完成设计领域专业考察，考察时间不少于2周，结束后需撰写考察报告，由专业教师负责考核。</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lang w:val="en-US" w:eastAsia="zh-CN"/>
        </w:rPr>
      </w:pPr>
      <w:r>
        <w:rPr>
          <w:rFonts w:hint="eastAsia" w:ascii="仿宋_GB2312" w:hAnsi="宋体" w:eastAsia="仿宋_GB2312" w:cs="Times New Roman"/>
          <w:b/>
          <w:bCs w:val="0"/>
          <w:color w:val="auto"/>
          <w:sz w:val="24"/>
          <w:szCs w:val="24"/>
          <w:highlight w:val="none"/>
          <w:lang w:val="en-US" w:eastAsia="zh-CN"/>
        </w:rPr>
        <w:t>2．设计</w:t>
      </w:r>
      <w:r>
        <w:rPr>
          <w:rFonts w:hint="eastAsia" w:ascii="仿宋_GB2312" w:hAnsi="宋体" w:eastAsia="仿宋_GB2312" w:cs="Times New Roman"/>
          <w:b/>
          <w:bCs w:val="0"/>
          <w:color w:val="auto"/>
          <w:sz w:val="24"/>
          <w:szCs w:val="24"/>
          <w:highlight w:val="none"/>
          <w:lang w:val="en-US" w:eastAsia="zh-Hans"/>
        </w:rPr>
        <w:t>调研</w:t>
      </w:r>
      <w:r>
        <w:rPr>
          <w:rFonts w:hint="eastAsia" w:ascii="仿宋_GB2312" w:hAnsi="宋体" w:eastAsia="仿宋_GB2312" w:cs="Times New Roman"/>
          <w:b/>
          <w:bCs w:val="0"/>
          <w:color w:val="auto"/>
          <w:sz w:val="24"/>
          <w:szCs w:val="24"/>
          <w:highlight w:val="none"/>
          <w:lang w:val="en-US" w:eastAsia="zh-CN"/>
        </w:rPr>
        <w:t>：由校内导师或校外导师指导完成设计调研，时间不少于4周，由校内或校外导师负责考核。</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lang w:val="en-US" w:eastAsia="zh-CN"/>
        </w:rPr>
      </w:pPr>
      <w:r>
        <w:rPr>
          <w:rFonts w:hint="eastAsia" w:ascii="仿宋_GB2312" w:hAnsi="宋体" w:eastAsia="仿宋_GB2312" w:cs="Times New Roman"/>
          <w:b/>
          <w:bCs w:val="0"/>
          <w:color w:val="auto"/>
          <w:sz w:val="24"/>
          <w:szCs w:val="24"/>
          <w:highlight w:val="none"/>
          <w:lang w:val="en-US" w:eastAsia="zh-CN"/>
        </w:rPr>
        <w:t>3．设计专业实践：需由专业教师带队完成设计领域艺术实践，实践时间不少于10周。项目启动、设计调研、设计策划、设计创意、设计表现、设计实施以及项目结项为主要内容，设计专业实践结束后应参加设计展，由校内外导师联合负责考核。</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lang w:val="en-US" w:eastAsia="zh-CN"/>
        </w:rPr>
      </w:pPr>
      <w:r>
        <w:rPr>
          <w:rFonts w:hint="eastAsia" w:ascii="仿宋_GB2312" w:hAnsi="宋体" w:eastAsia="仿宋_GB2312" w:cs="Times New Roman"/>
          <w:b/>
          <w:bCs w:val="0"/>
          <w:color w:val="auto"/>
          <w:sz w:val="24"/>
          <w:szCs w:val="24"/>
          <w:highlight w:val="none"/>
          <w:lang w:val="en-US" w:eastAsia="zh-CN"/>
        </w:rPr>
        <w:t>4．设计实习：需在第6学期参加设计实习提高专业实践能力，实习时间不少于10周，可采用集中实践与分段实践相结合的方式；实习内容由校外导师决定，结束后需撰写实习报告；设计实习由校内外双方导师联合负责考核。</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lang w:val="en-US" w:eastAsia="zh-CN"/>
        </w:rPr>
      </w:pPr>
      <w:r>
        <w:rPr>
          <w:rFonts w:hint="eastAsia" w:ascii="仿宋_GB2312" w:hAnsi="宋体" w:eastAsia="仿宋_GB2312" w:cs="Times New Roman"/>
          <w:b/>
          <w:bCs w:val="0"/>
          <w:color w:val="auto"/>
          <w:sz w:val="24"/>
          <w:szCs w:val="24"/>
          <w:highlight w:val="none"/>
          <w:lang w:val="en-US" w:eastAsia="zh-CN"/>
        </w:rPr>
        <w:t>5．文献综述：要求在对本专业领域的文献进行广泛阅读和理解的基础上，对该专业领域的研究现状(包括主要学术观点、前人研究成果和研究水平、争论焦点、存在的问题及可能的原因等)、新水平、新动态、新技术和新发现、发展前景等内容进行综合分析、归纳整理和评论，并提出自己的见解和研究思路。专业文献综述不得少于0.5万字。文献综述应于学位论文开题前由导师考核通过，不合格者不得进入学位论文开题环节。</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lang w:val="en-US" w:eastAsia="zh-CN"/>
        </w:rPr>
      </w:pPr>
      <w:r>
        <w:rPr>
          <w:rFonts w:hint="eastAsia" w:ascii="仿宋_GB2312" w:hAnsi="宋体" w:eastAsia="仿宋_GB2312" w:cs="Times New Roman"/>
          <w:b/>
          <w:bCs w:val="0"/>
          <w:color w:val="auto"/>
          <w:sz w:val="24"/>
          <w:szCs w:val="24"/>
          <w:highlight w:val="none"/>
          <w:lang w:val="en-US" w:eastAsia="zh-CN"/>
        </w:rPr>
        <w:t>6．开题报告：按《东华理工大学大学硕士学位论文开题报告的要求及考核办法》进行，开题报告需经学院组织开题报告会审核通过。</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lang w:val="en-US" w:eastAsia="zh-CN"/>
        </w:rPr>
      </w:pPr>
      <w:r>
        <w:rPr>
          <w:rFonts w:hint="eastAsia" w:ascii="仿宋_GB2312" w:hAnsi="宋体" w:eastAsia="仿宋_GB2312" w:cs="Times New Roman"/>
          <w:b/>
          <w:bCs w:val="0"/>
          <w:color w:val="auto"/>
          <w:sz w:val="24"/>
          <w:szCs w:val="24"/>
          <w:highlight w:val="none"/>
          <w:lang w:val="en-US" w:eastAsia="zh-CN"/>
        </w:rPr>
        <w:t>7．中期报告：按《东华理工大学研究生中期考核实施办法》进行，重点汇报前期课程学习及实践成果，由设计领域导师组负责考核。</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lang w:val="en-US" w:eastAsia="zh-CN"/>
        </w:rPr>
      </w:pPr>
      <w:r>
        <w:rPr>
          <w:rFonts w:hint="eastAsia" w:ascii="仿宋_GB2312" w:hAnsi="宋体" w:eastAsia="仿宋_GB2312" w:cs="Times New Roman"/>
          <w:b/>
          <w:bCs w:val="0"/>
          <w:color w:val="auto"/>
          <w:sz w:val="24"/>
          <w:szCs w:val="24"/>
          <w:highlight w:val="none"/>
          <w:lang w:val="en-US" w:eastAsia="zh-CN"/>
        </w:rPr>
        <w:t>8．毕业作品汇报展：选题应符合专业方向，独立、原创完成设计作品，参加毕业作品汇报展。由设计领域导师组负责考核。</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ascii="仿宋_GB2312" w:hAnsi="宋体" w:eastAsia="仿宋_GB2312" w:cs="Times New Roman"/>
          <w:b/>
          <w:bCs w:val="0"/>
          <w:color w:val="auto"/>
          <w:sz w:val="24"/>
          <w:szCs w:val="24"/>
          <w:highlight w:val="none"/>
        </w:rPr>
      </w:pPr>
      <w:r>
        <w:rPr>
          <w:rFonts w:hint="eastAsia" w:ascii="仿宋_GB2312" w:hAnsi="宋体" w:eastAsia="仿宋_GB2312" w:cs="Times New Roman"/>
          <w:b/>
          <w:bCs w:val="0"/>
          <w:color w:val="auto"/>
          <w:sz w:val="24"/>
          <w:szCs w:val="24"/>
          <w:highlight w:val="none"/>
          <w:lang w:val="en-US" w:eastAsia="zh-CN"/>
        </w:rPr>
        <w:t>9．学术活动：学生在校期间必须参加6次学术活动，可以是听学术讲座，也可以是参加展演活动。</w:t>
      </w:r>
    </w:p>
    <w:p>
      <w:pPr>
        <w:spacing w:line="240" w:lineRule="auto"/>
        <w:ind w:right="210"/>
        <w:outlineLvl w:val="0"/>
        <w:rPr>
          <w:rFonts w:ascii="仿宋_GB2312" w:hAnsi="宋体" w:eastAsia="仿宋_GB2312" w:cs="Times New Roman"/>
          <w:b/>
          <w:bCs w:val="0"/>
          <w:color w:val="auto"/>
          <w:sz w:val="24"/>
          <w:szCs w:val="24"/>
          <w:highlight w:val="none"/>
        </w:rPr>
      </w:pPr>
      <w:r>
        <w:rPr>
          <w:rFonts w:hint="eastAsia" w:ascii="黑体" w:hAnsi="黑体" w:eastAsia="黑体" w:cs="Times New Roman"/>
          <w:b/>
          <w:bCs w:val="0"/>
          <w:color w:val="auto"/>
          <w:kern w:val="0"/>
          <w:sz w:val="28"/>
          <w:szCs w:val="28"/>
          <w:highlight w:val="none"/>
        </w:rPr>
        <w:t>九</w:t>
      </w:r>
      <w:r>
        <w:rPr>
          <w:rFonts w:ascii="黑体" w:hAnsi="黑体" w:eastAsia="黑体" w:cs="Times New Roman"/>
          <w:b/>
          <w:bCs w:val="0"/>
          <w:color w:val="auto"/>
          <w:kern w:val="0"/>
          <w:sz w:val="28"/>
          <w:szCs w:val="28"/>
          <w:highlight w:val="none"/>
        </w:rPr>
        <w:t>、</w:t>
      </w:r>
      <w:r>
        <w:rPr>
          <w:rFonts w:hint="eastAsia" w:ascii="黑体" w:hAnsi="黑体" w:eastAsia="黑体" w:cs="Times New Roman"/>
          <w:b/>
          <w:bCs w:val="0"/>
          <w:color w:val="auto"/>
          <w:kern w:val="0"/>
          <w:sz w:val="28"/>
          <w:szCs w:val="28"/>
          <w:highlight w:val="none"/>
        </w:rPr>
        <w:t>毕业考核</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lang w:val="en-US" w:eastAsia="zh-CN"/>
        </w:rPr>
      </w:pPr>
      <w:r>
        <w:rPr>
          <w:rFonts w:hint="eastAsia" w:ascii="仿宋_GB2312" w:hAnsi="宋体" w:eastAsia="仿宋_GB2312" w:cs="Times New Roman"/>
          <w:b/>
          <w:bCs w:val="0"/>
          <w:color w:val="auto"/>
          <w:sz w:val="24"/>
          <w:szCs w:val="24"/>
          <w:highlight w:val="none"/>
          <w:lang w:val="en-US" w:eastAsia="zh-CN"/>
        </w:rPr>
        <w:t>本领域艺术硕士专业学位申请者，必须修完规定课程和获得规定学分的同时完成专业实践环节和培养环节后进入毕业考核。毕业考核由专业实践能力展示和专业学位论文答辩两部分组成。专业实践能力展示体现申请人的专业技能水平，专业学位论文答辩体现申请人对应用专业技能所表现出的综合素质和理论阐述能力。专业实践能力展示和专业学位论文答辩采取公开进行方式实施，均须达到合格标准。毕业考核总成绩计算方法为：专业实践能力展示占70%、专业学位论文答辩占30%。</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lang w:val="en-US" w:eastAsia="zh-CN"/>
        </w:rPr>
      </w:pPr>
      <w:r>
        <w:rPr>
          <w:rFonts w:hint="eastAsia" w:ascii="仿宋_GB2312" w:hAnsi="宋体" w:eastAsia="仿宋_GB2312" w:cs="Times New Roman"/>
          <w:b/>
          <w:bCs w:val="0"/>
          <w:color w:val="auto"/>
          <w:sz w:val="24"/>
          <w:szCs w:val="24"/>
          <w:highlight w:val="none"/>
          <w:lang w:val="en-US" w:eastAsia="zh-CN"/>
        </w:rPr>
        <w:t>(一）专业实践能力展示要求</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lang w:val="en-US" w:eastAsia="zh-CN"/>
        </w:rPr>
      </w:pPr>
      <w:r>
        <w:rPr>
          <w:rFonts w:hint="eastAsia" w:ascii="仿宋_GB2312" w:hAnsi="宋体" w:eastAsia="仿宋_GB2312" w:cs="Times New Roman"/>
          <w:b/>
          <w:bCs w:val="0"/>
          <w:color w:val="auto"/>
          <w:sz w:val="24"/>
          <w:szCs w:val="24"/>
          <w:highlight w:val="none"/>
          <w:lang w:val="en-US" w:eastAsia="zh-CN"/>
        </w:rPr>
        <w:t>根据毕业选题进行毕业设计创作，参加毕业作品汇报展，展示独立原创的设计作品实物,必须符合毕业展览要求：视传类完成整套毕业设计及各类图纸，原则上提供完整真实的视觉设计与信息化设计动态影像；数媒类不少于15分钟的动态影像作品；环艺类完成整套毕业设计及各类图纸，原则上提供完整真实的沙盘模型或漫游动画；产品类完成整套毕业设计及各类图纸，原则上提供完整真实的效果模型。具体要求为：</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lang w:val="en-US" w:eastAsia="zh-CN"/>
        </w:rPr>
      </w:pPr>
      <w:r>
        <w:rPr>
          <w:rFonts w:hint="eastAsia" w:ascii="仿宋_GB2312" w:hAnsi="宋体" w:eastAsia="仿宋_GB2312" w:cs="Times New Roman"/>
          <w:b/>
          <w:bCs w:val="0"/>
          <w:color w:val="auto"/>
          <w:sz w:val="24"/>
          <w:szCs w:val="24"/>
          <w:highlight w:val="none"/>
          <w:lang w:val="en-US" w:eastAsia="zh-CN"/>
        </w:rPr>
        <w:t>1．作品要求体现一定的创新意识和应用价值，反映出研究生良好的专业理解力、驾驭力和想象力，符合选题内容，体现出设计理念、设计过程和一定的工作量。</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lang w:val="en-US" w:eastAsia="zh-CN"/>
        </w:rPr>
      </w:pPr>
      <w:r>
        <w:rPr>
          <w:rFonts w:hint="eastAsia" w:ascii="仿宋_GB2312" w:hAnsi="宋体" w:eastAsia="仿宋_GB2312" w:cs="Times New Roman"/>
          <w:b/>
          <w:bCs w:val="0"/>
          <w:color w:val="auto"/>
          <w:sz w:val="24"/>
          <w:szCs w:val="24"/>
          <w:highlight w:val="none"/>
          <w:lang w:val="en-US" w:eastAsia="zh-CN"/>
        </w:rPr>
        <w:t>2．作品保证原创性及数量质量，以设计作品展的形式进行公开展示。</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lang w:val="en-US" w:eastAsia="zh-CN"/>
        </w:rPr>
      </w:pPr>
      <w:r>
        <w:rPr>
          <w:rFonts w:hint="eastAsia" w:ascii="仿宋_GB2312" w:hAnsi="宋体" w:eastAsia="仿宋_GB2312" w:cs="Times New Roman"/>
          <w:b/>
          <w:bCs w:val="0"/>
          <w:color w:val="auto"/>
          <w:sz w:val="24"/>
          <w:szCs w:val="24"/>
          <w:highlight w:val="none"/>
          <w:lang w:val="en-US" w:eastAsia="zh-CN"/>
        </w:rPr>
        <w:t>3．作品的内容形式要求完整、系统、能够体现本专业研究方向教学的设计艺术水准和学生较强的专业实践能力。</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lang w:val="en-US" w:eastAsia="zh-CN"/>
        </w:rPr>
      </w:pPr>
      <w:r>
        <w:rPr>
          <w:rFonts w:hint="eastAsia" w:ascii="仿宋_GB2312" w:hAnsi="宋体" w:eastAsia="仿宋_GB2312" w:cs="Times New Roman"/>
          <w:b/>
          <w:bCs w:val="0"/>
          <w:color w:val="auto"/>
          <w:sz w:val="24"/>
          <w:szCs w:val="24"/>
          <w:highlight w:val="none"/>
          <w:lang w:val="en-US" w:eastAsia="zh-CN"/>
        </w:rPr>
        <w:t>4．展示作品要求组织专家组3-5人进行评分，成绩按百分制计分。</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lang w:val="en-US" w:eastAsia="zh-CN"/>
        </w:rPr>
      </w:pPr>
      <w:r>
        <w:rPr>
          <w:rFonts w:hint="eastAsia" w:ascii="仿宋_GB2312" w:hAnsi="宋体" w:eastAsia="仿宋_GB2312" w:cs="Times New Roman"/>
          <w:b/>
          <w:bCs w:val="0"/>
          <w:color w:val="auto"/>
          <w:sz w:val="24"/>
          <w:szCs w:val="24"/>
          <w:highlight w:val="none"/>
          <w:lang w:val="en-US" w:eastAsia="zh-CN"/>
        </w:rPr>
        <w:t>5．专业实践能力展示评价结果分为：优秀、良好、合格、不合格四种。</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default" w:ascii="仿宋_GB2312" w:hAnsi="宋体" w:eastAsia="仿宋_GB2312" w:cs="Times New Roman"/>
          <w:b/>
          <w:bCs w:val="0"/>
          <w:color w:val="auto"/>
          <w:sz w:val="24"/>
          <w:szCs w:val="24"/>
          <w:highlight w:val="none"/>
          <w:lang w:val="en-US" w:eastAsia="zh-Hans"/>
        </w:rPr>
      </w:pPr>
      <w:r>
        <w:rPr>
          <w:rFonts w:hint="eastAsia" w:ascii="仿宋_GB2312" w:hAnsi="宋体" w:eastAsia="仿宋_GB2312" w:cs="Times New Roman"/>
          <w:b/>
          <w:bCs w:val="0"/>
          <w:color w:val="auto"/>
          <w:sz w:val="24"/>
          <w:szCs w:val="24"/>
          <w:highlight w:val="none"/>
          <w:lang w:val="en-US" w:eastAsia="zh-Hans"/>
        </w:rPr>
        <w:t>优秀</w:t>
      </w:r>
      <w:r>
        <w:rPr>
          <w:rFonts w:hint="default" w:ascii="仿宋_GB2312" w:hAnsi="宋体" w:eastAsia="仿宋_GB2312" w:cs="Times New Roman"/>
          <w:b/>
          <w:bCs w:val="0"/>
          <w:color w:val="auto"/>
          <w:sz w:val="24"/>
          <w:szCs w:val="24"/>
          <w:highlight w:val="none"/>
          <w:lang w:val="en-US" w:eastAsia="zh-Hans"/>
        </w:rPr>
        <w:t>：85</w:t>
      </w:r>
      <w:r>
        <w:rPr>
          <w:rFonts w:hint="eastAsia" w:ascii="仿宋_GB2312" w:hAnsi="宋体" w:eastAsia="仿宋_GB2312" w:cs="Times New Roman"/>
          <w:b/>
          <w:bCs w:val="0"/>
          <w:color w:val="auto"/>
          <w:sz w:val="24"/>
          <w:szCs w:val="24"/>
          <w:highlight w:val="none"/>
          <w:lang w:val="en-US" w:eastAsia="zh-Hans"/>
        </w:rPr>
        <w:t>分以上</w:t>
      </w:r>
      <w:r>
        <w:rPr>
          <w:rFonts w:hint="default" w:ascii="仿宋_GB2312" w:hAnsi="宋体" w:eastAsia="仿宋_GB2312" w:cs="Times New Roman"/>
          <w:b/>
          <w:bCs w:val="0"/>
          <w:color w:val="auto"/>
          <w:sz w:val="24"/>
          <w:szCs w:val="24"/>
          <w:highlight w:val="none"/>
          <w:lang w:val="en-US" w:eastAsia="zh-Hans"/>
        </w:rPr>
        <w:t>（</w:t>
      </w:r>
      <w:r>
        <w:rPr>
          <w:rFonts w:hint="eastAsia" w:ascii="仿宋_GB2312" w:hAnsi="宋体" w:eastAsia="仿宋_GB2312" w:cs="Times New Roman"/>
          <w:b/>
          <w:bCs w:val="0"/>
          <w:color w:val="auto"/>
          <w:sz w:val="24"/>
          <w:szCs w:val="24"/>
          <w:highlight w:val="none"/>
          <w:lang w:val="en-US" w:eastAsia="zh-Hans"/>
        </w:rPr>
        <w:t>含</w:t>
      </w:r>
      <w:r>
        <w:rPr>
          <w:rFonts w:hint="default" w:ascii="仿宋_GB2312" w:hAnsi="宋体" w:eastAsia="仿宋_GB2312" w:cs="Times New Roman"/>
          <w:b/>
          <w:bCs w:val="0"/>
          <w:color w:val="auto"/>
          <w:sz w:val="24"/>
          <w:szCs w:val="24"/>
          <w:highlight w:val="none"/>
          <w:lang w:val="en-US" w:eastAsia="zh-Hans"/>
        </w:rPr>
        <w:t>85</w:t>
      </w:r>
      <w:r>
        <w:rPr>
          <w:rFonts w:hint="eastAsia" w:ascii="仿宋_GB2312" w:hAnsi="宋体" w:eastAsia="仿宋_GB2312" w:cs="Times New Roman"/>
          <w:b/>
          <w:bCs w:val="0"/>
          <w:color w:val="auto"/>
          <w:sz w:val="24"/>
          <w:szCs w:val="24"/>
          <w:highlight w:val="none"/>
          <w:lang w:val="en-US" w:eastAsia="zh-Hans"/>
        </w:rPr>
        <w:t>分</w:t>
      </w:r>
      <w:r>
        <w:rPr>
          <w:rFonts w:hint="default" w:ascii="仿宋_GB2312" w:hAnsi="宋体" w:eastAsia="仿宋_GB2312" w:cs="Times New Roman"/>
          <w:b/>
          <w:bCs w:val="0"/>
          <w:color w:val="auto"/>
          <w:sz w:val="24"/>
          <w:szCs w:val="24"/>
          <w:highlight w:val="none"/>
          <w:lang w:val="en-US" w:eastAsia="zh-Hans"/>
        </w:rPr>
        <w:t>）</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default" w:ascii="仿宋_GB2312" w:hAnsi="宋体" w:eastAsia="仿宋_GB2312" w:cs="Times New Roman"/>
          <w:b/>
          <w:bCs w:val="0"/>
          <w:color w:val="auto"/>
          <w:sz w:val="24"/>
          <w:szCs w:val="24"/>
          <w:highlight w:val="none"/>
          <w:lang w:val="en-US" w:eastAsia="zh-Hans"/>
        </w:rPr>
      </w:pPr>
      <w:r>
        <w:rPr>
          <w:rFonts w:hint="eastAsia" w:ascii="仿宋_GB2312" w:hAnsi="宋体" w:eastAsia="仿宋_GB2312" w:cs="Times New Roman"/>
          <w:b/>
          <w:bCs w:val="0"/>
          <w:color w:val="auto"/>
          <w:sz w:val="24"/>
          <w:szCs w:val="24"/>
          <w:highlight w:val="none"/>
          <w:lang w:val="en-US" w:eastAsia="zh-Hans"/>
        </w:rPr>
        <w:t>良好</w:t>
      </w:r>
      <w:r>
        <w:rPr>
          <w:rFonts w:hint="default" w:ascii="仿宋_GB2312" w:hAnsi="宋体" w:eastAsia="仿宋_GB2312" w:cs="Times New Roman"/>
          <w:b/>
          <w:bCs w:val="0"/>
          <w:color w:val="auto"/>
          <w:sz w:val="24"/>
          <w:szCs w:val="24"/>
          <w:highlight w:val="none"/>
          <w:lang w:val="en-US" w:eastAsia="zh-Hans"/>
        </w:rPr>
        <w:t>：84</w:t>
      </w:r>
      <w:r>
        <w:rPr>
          <w:rFonts w:hint="eastAsia" w:ascii="仿宋_GB2312" w:hAnsi="宋体" w:eastAsia="仿宋_GB2312" w:cs="Times New Roman"/>
          <w:b/>
          <w:bCs w:val="0"/>
          <w:color w:val="auto"/>
          <w:sz w:val="24"/>
          <w:szCs w:val="24"/>
          <w:highlight w:val="none"/>
          <w:lang w:val="en-US" w:eastAsia="zh-Hans"/>
        </w:rPr>
        <w:t>分</w:t>
      </w:r>
      <w:r>
        <w:rPr>
          <w:rFonts w:hint="default" w:ascii="仿宋_GB2312" w:hAnsi="宋体" w:eastAsia="仿宋_GB2312" w:cs="Times New Roman"/>
          <w:b/>
          <w:bCs w:val="0"/>
          <w:color w:val="auto"/>
          <w:sz w:val="24"/>
          <w:szCs w:val="24"/>
          <w:highlight w:val="none"/>
          <w:lang w:val="en-US" w:eastAsia="zh-Hans"/>
        </w:rPr>
        <w:t>-70</w:t>
      </w:r>
      <w:r>
        <w:rPr>
          <w:rFonts w:hint="eastAsia" w:ascii="仿宋_GB2312" w:hAnsi="宋体" w:eastAsia="仿宋_GB2312" w:cs="Times New Roman"/>
          <w:b/>
          <w:bCs w:val="0"/>
          <w:color w:val="auto"/>
          <w:sz w:val="24"/>
          <w:szCs w:val="24"/>
          <w:highlight w:val="none"/>
          <w:lang w:val="en-US" w:eastAsia="zh-Hans"/>
        </w:rPr>
        <w:t>分</w:t>
      </w:r>
      <w:r>
        <w:rPr>
          <w:rFonts w:hint="default" w:ascii="仿宋_GB2312" w:hAnsi="宋体" w:eastAsia="仿宋_GB2312" w:cs="Times New Roman"/>
          <w:b/>
          <w:bCs w:val="0"/>
          <w:color w:val="auto"/>
          <w:sz w:val="24"/>
          <w:szCs w:val="24"/>
          <w:highlight w:val="none"/>
          <w:lang w:val="en-US" w:eastAsia="zh-Hans"/>
        </w:rPr>
        <w:t>（</w:t>
      </w:r>
      <w:r>
        <w:rPr>
          <w:rFonts w:hint="eastAsia" w:ascii="仿宋_GB2312" w:hAnsi="宋体" w:eastAsia="仿宋_GB2312" w:cs="Times New Roman"/>
          <w:b/>
          <w:bCs w:val="0"/>
          <w:color w:val="auto"/>
          <w:sz w:val="24"/>
          <w:szCs w:val="24"/>
          <w:highlight w:val="none"/>
          <w:lang w:val="en-US" w:eastAsia="zh-Hans"/>
        </w:rPr>
        <w:t>含</w:t>
      </w:r>
      <w:r>
        <w:rPr>
          <w:rFonts w:hint="default" w:ascii="仿宋_GB2312" w:hAnsi="宋体" w:eastAsia="仿宋_GB2312" w:cs="Times New Roman"/>
          <w:b/>
          <w:bCs w:val="0"/>
          <w:color w:val="auto"/>
          <w:sz w:val="24"/>
          <w:szCs w:val="24"/>
          <w:highlight w:val="none"/>
          <w:lang w:val="en-US" w:eastAsia="zh-Hans"/>
        </w:rPr>
        <w:t>70</w:t>
      </w:r>
      <w:r>
        <w:rPr>
          <w:rFonts w:hint="eastAsia" w:ascii="仿宋_GB2312" w:hAnsi="宋体" w:eastAsia="仿宋_GB2312" w:cs="Times New Roman"/>
          <w:b/>
          <w:bCs w:val="0"/>
          <w:color w:val="auto"/>
          <w:sz w:val="24"/>
          <w:szCs w:val="24"/>
          <w:highlight w:val="none"/>
          <w:lang w:val="en-US" w:eastAsia="zh-Hans"/>
        </w:rPr>
        <w:t>分</w:t>
      </w:r>
      <w:r>
        <w:rPr>
          <w:rFonts w:hint="default" w:ascii="仿宋_GB2312" w:hAnsi="宋体" w:eastAsia="仿宋_GB2312" w:cs="Times New Roman"/>
          <w:b/>
          <w:bCs w:val="0"/>
          <w:color w:val="auto"/>
          <w:sz w:val="24"/>
          <w:szCs w:val="24"/>
          <w:highlight w:val="none"/>
          <w:lang w:val="en-US" w:eastAsia="zh-Hans"/>
        </w:rPr>
        <w:t>）</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default" w:ascii="仿宋_GB2312" w:hAnsi="宋体" w:eastAsia="仿宋_GB2312" w:cs="Times New Roman"/>
          <w:b/>
          <w:bCs w:val="0"/>
          <w:color w:val="auto"/>
          <w:sz w:val="24"/>
          <w:szCs w:val="24"/>
          <w:highlight w:val="none"/>
          <w:lang w:val="en-US" w:eastAsia="zh-Hans"/>
        </w:rPr>
      </w:pPr>
      <w:r>
        <w:rPr>
          <w:rFonts w:hint="eastAsia" w:ascii="仿宋_GB2312" w:hAnsi="宋体" w:eastAsia="仿宋_GB2312" w:cs="Times New Roman"/>
          <w:b/>
          <w:bCs w:val="0"/>
          <w:color w:val="auto"/>
          <w:sz w:val="24"/>
          <w:szCs w:val="24"/>
          <w:highlight w:val="none"/>
          <w:lang w:val="en-US" w:eastAsia="zh-Hans"/>
        </w:rPr>
        <w:t>合格</w:t>
      </w:r>
      <w:r>
        <w:rPr>
          <w:rFonts w:hint="default" w:ascii="仿宋_GB2312" w:hAnsi="宋体" w:eastAsia="仿宋_GB2312" w:cs="Times New Roman"/>
          <w:b/>
          <w:bCs w:val="0"/>
          <w:color w:val="auto"/>
          <w:sz w:val="24"/>
          <w:szCs w:val="24"/>
          <w:highlight w:val="none"/>
          <w:lang w:val="en-US" w:eastAsia="zh-Hans"/>
        </w:rPr>
        <w:t>：69</w:t>
      </w:r>
      <w:r>
        <w:rPr>
          <w:rFonts w:hint="eastAsia" w:ascii="仿宋_GB2312" w:hAnsi="宋体" w:eastAsia="仿宋_GB2312" w:cs="Times New Roman"/>
          <w:b/>
          <w:bCs w:val="0"/>
          <w:color w:val="auto"/>
          <w:sz w:val="24"/>
          <w:szCs w:val="24"/>
          <w:highlight w:val="none"/>
          <w:lang w:val="en-US" w:eastAsia="zh-Hans"/>
        </w:rPr>
        <w:t>分</w:t>
      </w:r>
      <w:r>
        <w:rPr>
          <w:rFonts w:hint="default" w:ascii="仿宋_GB2312" w:hAnsi="宋体" w:eastAsia="仿宋_GB2312" w:cs="Times New Roman"/>
          <w:b/>
          <w:bCs w:val="0"/>
          <w:color w:val="auto"/>
          <w:sz w:val="24"/>
          <w:szCs w:val="24"/>
          <w:highlight w:val="none"/>
          <w:lang w:val="en-US" w:eastAsia="zh-Hans"/>
        </w:rPr>
        <w:t>-60</w:t>
      </w:r>
      <w:r>
        <w:rPr>
          <w:rFonts w:hint="eastAsia" w:ascii="仿宋_GB2312" w:hAnsi="宋体" w:eastAsia="仿宋_GB2312" w:cs="Times New Roman"/>
          <w:b/>
          <w:bCs w:val="0"/>
          <w:color w:val="auto"/>
          <w:sz w:val="24"/>
          <w:szCs w:val="24"/>
          <w:highlight w:val="none"/>
          <w:lang w:val="en-US" w:eastAsia="zh-Hans"/>
        </w:rPr>
        <w:t>分</w:t>
      </w:r>
      <w:r>
        <w:rPr>
          <w:rFonts w:hint="default" w:ascii="仿宋_GB2312" w:hAnsi="宋体" w:eastAsia="仿宋_GB2312" w:cs="Times New Roman"/>
          <w:b/>
          <w:bCs w:val="0"/>
          <w:color w:val="auto"/>
          <w:sz w:val="24"/>
          <w:szCs w:val="24"/>
          <w:highlight w:val="none"/>
          <w:lang w:val="en-US" w:eastAsia="zh-Hans"/>
        </w:rPr>
        <w:t>（</w:t>
      </w:r>
      <w:r>
        <w:rPr>
          <w:rFonts w:hint="eastAsia" w:ascii="仿宋_GB2312" w:hAnsi="宋体" w:eastAsia="仿宋_GB2312" w:cs="Times New Roman"/>
          <w:b/>
          <w:bCs w:val="0"/>
          <w:color w:val="auto"/>
          <w:sz w:val="24"/>
          <w:szCs w:val="24"/>
          <w:highlight w:val="none"/>
          <w:lang w:val="en-US" w:eastAsia="zh-Hans"/>
        </w:rPr>
        <w:t>含</w:t>
      </w:r>
      <w:r>
        <w:rPr>
          <w:rFonts w:hint="default" w:ascii="仿宋_GB2312" w:hAnsi="宋体" w:eastAsia="仿宋_GB2312" w:cs="Times New Roman"/>
          <w:b/>
          <w:bCs w:val="0"/>
          <w:color w:val="auto"/>
          <w:sz w:val="24"/>
          <w:szCs w:val="24"/>
          <w:highlight w:val="none"/>
          <w:lang w:val="en-US" w:eastAsia="zh-Hans"/>
        </w:rPr>
        <w:t>60</w:t>
      </w:r>
      <w:r>
        <w:rPr>
          <w:rFonts w:hint="eastAsia" w:ascii="仿宋_GB2312" w:hAnsi="宋体" w:eastAsia="仿宋_GB2312" w:cs="Times New Roman"/>
          <w:b/>
          <w:bCs w:val="0"/>
          <w:color w:val="auto"/>
          <w:sz w:val="24"/>
          <w:szCs w:val="24"/>
          <w:highlight w:val="none"/>
          <w:lang w:val="en-US" w:eastAsia="zh-Hans"/>
        </w:rPr>
        <w:t>分</w:t>
      </w:r>
      <w:r>
        <w:rPr>
          <w:rFonts w:hint="default" w:ascii="仿宋_GB2312" w:hAnsi="宋体" w:eastAsia="仿宋_GB2312" w:cs="Times New Roman"/>
          <w:b/>
          <w:bCs w:val="0"/>
          <w:color w:val="auto"/>
          <w:sz w:val="24"/>
          <w:szCs w:val="24"/>
          <w:highlight w:val="none"/>
          <w:lang w:val="en-US" w:eastAsia="zh-Hans"/>
        </w:rPr>
        <w:t>）</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lang w:val="en-US" w:eastAsia="zh-Hans"/>
        </w:rPr>
      </w:pPr>
      <w:r>
        <w:rPr>
          <w:rFonts w:hint="eastAsia" w:ascii="仿宋_GB2312" w:hAnsi="宋体" w:eastAsia="仿宋_GB2312" w:cs="Times New Roman"/>
          <w:b/>
          <w:bCs w:val="0"/>
          <w:color w:val="auto"/>
          <w:sz w:val="24"/>
          <w:szCs w:val="24"/>
          <w:highlight w:val="none"/>
          <w:lang w:val="en-US" w:eastAsia="zh-Hans"/>
        </w:rPr>
        <w:t>不合格</w:t>
      </w:r>
      <w:r>
        <w:rPr>
          <w:rFonts w:hint="default" w:ascii="仿宋_GB2312" w:hAnsi="宋体" w:eastAsia="仿宋_GB2312" w:cs="Times New Roman"/>
          <w:b/>
          <w:bCs w:val="0"/>
          <w:color w:val="auto"/>
          <w:sz w:val="24"/>
          <w:szCs w:val="24"/>
          <w:highlight w:val="none"/>
          <w:lang w:val="en-US" w:eastAsia="zh-Hans"/>
        </w:rPr>
        <w:t>：60</w:t>
      </w:r>
      <w:r>
        <w:rPr>
          <w:rFonts w:hint="eastAsia" w:ascii="仿宋_GB2312" w:hAnsi="宋体" w:eastAsia="仿宋_GB2312" w:cs="Times New Roman"/>
          <w:b/>
          <w:bCs w:val="0"/>
          <w:color w:val="auto"/>
          <w:sz w:val="24"/>
          <w:szCs w:val="24"/>
          <w:highlight w:val="none"/>
          <w:lang w:val="en-US" w:eastAsia="zh-Hans"/>
        </w:rPr>
        <w:t>分以下</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lang w:val="en-US" w:eastAsia="zh-CN"/>
        </w:rPr>
      </w:pPr>
      <w:r>
        <w:rPr>
          <w:rFonts w:hint="eastAsia" w:ascii="仿宋_GB2312" w:hAnsi="宋体" w:eastAsia="仿宋_GB2312" w:cs="Times New Roman"/>
          <w:b/>
          <w:bCs w:val="0"/>
          <w:color w:val="auto"/>
          <w:sz w:val="24"/>
          <w:szCs w:val="24"/>
          <w:highlight w:val="none"/>
          <w:lang w:val="en-US" w:eastAsia="zh-CN"/>
        </w:rPr>
        <w:t>（二）专业学位论文要求</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lang w:val="en-US" w:eastAsia="zh-CN"/>
        </w:rPr>
      </w:pPr>
      <w:r>
        <w:rPr>
          <w:rFonts w:hint="eastAsia" w:ascii="仿宋_GB2312" w:hAnsi="宋体" w:eastAsia="仿宋_GB2312" w:cs="Times New Roman"/>
          <w:b/>
          <w:bCs w:val="0"/>
          <w:color w:val="auto"/>
          <w:sz w:val="24"/>
          <w:szCs w:val="24"/>
          <w:highlight w:val="none"/>
          <w:lang w:val="en-US" w:eastAsia="zh-CN"/>
        </w:rPr>
        <w:t>专业学位论文具体要求</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lang w:val="en-US" w:eastAsia="zh-CN"/>
        </w:rPr>
      </w:pPr>
      <w:r>
        <w:rPr>
          <w:rFonts w:hint="eastAsia" w:ascii="仿宋_GB2312" w:hAnsi="宋体" w:eastAsia="仿宋_GB2312" w:cs="Times New Roman"/>
          <w:b/>
          <w:bCs w:val="0"/>
          <w:color w:val="auto"/>
          <w:sz w:val="24"/>
          <w:szCs w:val="24"/>
          <w:highlight w:val="none"/>
          <w:lang w:val="en-US" w:eastAsia="zh-CN"/>
        </w:rPr>
        <w:t>1．专业学位论文与毕业设计内容相结合，专业学位论文的篇幅字数不少于2万字，核心部分字数不少于1万字（不含谱例、图表）。</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lang w:val="en-US" w:eastAsia="zh-CN"/>
        </w:rPr>
      </w:pPr>
      <w:r>
        <w:rPr>
          <w:rFonts w:hint="eastAsia" w:ascii="仿宋_GB2312" w:hAnsi="宋体" w:eastAsia="仿宋_GB2312" w:cs="Times New Roman"/>
          <w:b/>
          <w:bCs w:val="0"/>
          <w:color w:val="auto"/>
          <w:sz w:val="24"/>
          <w:szCs w:val="24"/>
          <w:highlight w:val="none"/>
          <w:lang w:val="en-US" w:eastAsia="zh-CN"/>
        </w:rPr>
        <w:t>2．专业学位论文中的设计作品阐述要紧密围绕学位作品进行，深入分析学位作品与该领域同类作品之异同，并对自己的创作进行理论性思考和阐述。论文要求主题突出、论点鲜明、论据充分、结构严谨、词句精练、条理分明，撰写必须严格遵守学术研究报告的写作规范。</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lang w:val="en-US" w:eastAsia="zh-CN"/>
        </w:rPr>
      </w:pPr>
      <w:r>
        <w:rPr>
          <w:rFonts w:hint="eastAsia" w:ascii="仿宋_GB2312" w:hAnsi="宋体" w:eastAsia="仿宋_GB2312" w:cs="Times New Roman"/>
          <w:b/>
          <w:bCs w:val="0"/>
          <w:color w:val="auto"/>
          <w:sz w:val="24"/>
          <w:szCs w:val="24"/>
          <w:highlight w:val="none"/>
          <w:lang w:val="en-US" w:eastAsia="zh-CN"/>
        </w:rPr>
        <w:t>3．提交专业学位论文作品时，须附上设计创作作品集，要求毕业设计作品应附有收集的资料信息、设计构思、设计草图、设计作品以及设计理念。</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lang w:val="en-US" w:eastAsia="zh-CN"/>
        </w:rPr>
      </w:pPr>
      <w:r>
        <w:rPr>
          <w:rFonts w:hint="eastAsia" w:ascii="仿宋_GB2312" w:hAnsi="宋体" w:eastAsia="仿宋_GB2312" w:cs="Times New Roman"/>
          <w:b/>
          <w:bCs w:val="0"/>
          <w:color w:val="auto"/>
          <w:sz w:val="24"/>
          <w:szCs w:val="24"/>
          <w:highlight w:val="none"/>
          <w:lang w:val="en-US" w:eastAsia="zh-CN"/>
        </w:rPr>
        <w:t>4．专业学位论文排版规范，印刷格式及体例遵循学校相关的统一规定和《艺术硕士研究生专业学位论文写作规范》。</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lang w:val="en-US" w:eastAsia="zh-CN"/>
        </w:rPr>
      </w:pPr>
      <w:r>
        <w:rPr>
          <w:rFonts w:hint="eastAsia" w:ascii="仿宋_GB2312" w:hAnsi="宋体" w:eastAsia="仿宋_GB2312" w:cs="Times New Roman"/>
          <w:b/>
          <w:bCs w:val="0"/>
          <w:color w:val="auto"/>
          <w:sz w:val="24"/>
          <w:szCs w:val="24"/>
          <w:highlight w:val="none"/>
          <w:lang w:val="en-US" w:eastAsia="zh-CN"/>
        </w:rPr>
        <w:t>(三)专业学位论文答辩要求</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lang w:val="en-US" w:eastAsia="zh-CN"/>
        </w:rPr>
      </w:pPr>
      <w:r>
        <w:rPr>
          <w:rFonts w:hint="eastAsia" w:ascii="仿宋_GB2312" w:hAnsi="宋体" w:eastAsia="仿宋_GB2312" w:cs="Times New Roman"/>
          <w:b/>
          <w:bCs w:val="0"/>
          <w:color w:val="auto"/>
          <w:sz w:val="24"/>
          <w:szCs w:val="24"/>
          <w:highlight w:val="none"/>
          <w:lang w:val="en-US" w:eastAsia="zh-CN"/>
        </w:rPr>
        <w:t>研究生在完成专业学位论文后，并同时完成和满足培养的其他要求后，方可申请参加毕业专业学位论文答辩。具体要求为：</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lang w:val="en-US" w:eastAsia="zh-CN"/>
        </w:rPr>
      </w:pPr>
      <w:r>
        <w:rPr>
          <w:rFonts w:hint="eastAsia" w:ascii="仿宋_GB2312" w:hAnsi="宋体" w:eastAsia="仿宋_GB2312" w:cs="Times New Roman"/>
          <w:b/>
          <w:bCs w:val="0"/>
          <w:color w:val="auto"/>
          <w:sz w:val="24"/>
          <w:szCs w:val="24"/>
          <w:highlight w:val="none"/>
          <w:lang w:val="en-US" w:eastAsia="zh-CN"/>
        </w:rPr>
        <w:t>1</w:t>
      </w:r>
      <w:r>
        <w:rPr>
          <w:rFonts w:hint="default" w:ascii="仿宋_GB2312" w:hAnsi="宋体" w:eastAsia="仿宋_GB2312" w:cs="Times New Roman"/>
          <w:b/>
          <w:bCs w:val="0"/>
          <w:color w:val="auto"/>
          <w:sz w:val="24"/>
          <w:szCs w:val="24"/>
          <w:highlight w:val="none"/>
          <w:lang w:eastAsia="zh-CN"/>
        </w:rPr>
        <w:t xml:space="preserve">. </w:t>
      </w:r>
      <w:r>
        <w:rPr>
          <w:rFonts w:hint="eastAsia" w:ascii="仿宋_GB2312" w:hAnsi="宋体" w:eastAsia="仿宋_GB2312" w:cs="Times New Roman"/>
          <w:b/>
          <w:bCs w:val="0"/>
          <w:color w:val="auto"/>
          <w:sz w:val="24"/>
          <w:szCs w:val="24"/>
          <w:highlight w:val="none"/>
          <w:lang w:val="en-US" w:eastAsia="zh-CN"/>
        </w:rPr>
        <w:t>专业学位申请者，在学位论文答辩之前，必须在本学科或相关学科的专业性学术刊物或国际学术会议公开发表1篇属于学位论文内容范畴的论文；学习期间需要参加与专业相关的学科竞赛、展览或完成导师指定的设计实践项目，方可申请提交答辩。</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lang w:val="en-US" w:eastAsia="zh-CN"/>
        </w:rPr>
      </w:pPr>
      <w:r>
        <w:rPr>
          <w:rFonts w:hint="eastAsia" w:ascii="仿宋_GB2312" w:hAnsi="宋体" w:eastAsia="仿宋_GB2312" w:cs="Times New Roman"/>
          <w:b/>
          <w:bCs w:val="0"/>
          <w:color w:val="auto"/>
          <w:sz w:val="24"/>
          <w:szCs w:val="24"/>
          <w:highlight w:val="none"/>
          <w:lang w:val="en-US" w:eastAsia="zh-CN"/>
        </w:rPr>
        <w:t>2</w:t>
      </w:r>
      <w:r>
        <w:rPr>
          <w:rFonts w:hint="default" w:ascii="仿宋_GB2312" w:hAnsi="宋体" w:eastAsia="仿宋_GB2312" w:cs="Times New Roman"/>
          <w:b/>
          <w:bCs w:val="0"/>
          <w:color w:val="auto"/>
          <w:sz w:val="24"/>
          <w:szCs w:val="24"/>
          <w:highlight w:val="none"/>
          <w:lang w:eastAsia="zh-CN"/>
        </w:rPr>
        <w:t xml:space="preserve">. </w:t>
      </w:r>
      <w:r>
        <w:rPr>
          <w:rFonts w:hint="eastAsia" w:ascii="仿宋_GB2312" w:hAnsi="宋体" w:eastAsia="仿宋_GB2312" w:cs="Times New Roman"/>
          <w:b/>
          <w:bCs w:val="0"/>
          <w:color w:val="auto"/>
          <w:sz w:val="24"/>
          <w:szCs w:val="24"/>
          <w:highlight w:val="none"/>
          <w:lang w:val="en-US" w:eastAsia="zh-CN"/>
        </w:rPr>
        <w:t>专业学位申请者，完成学位论文后，申请学位答辩前必须通过专业实践能力展示。</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lang w:val="en-US" w:eastAsia="zh-CN"/>
        </w:rPr>
      </w:pPr>
      <w:r>
        <w:rPr>
          <w:rFonts w:hint="eastAsia" w:ascii="仿宋_GB2312" w:hAnsi="宋体" w:eastAsia="仿宋_GB2312" w:cs="Times New Roman"/>
          <w:b/>
          <w:bCs w:val="0"/>
          <w:color w:val="auto"/>
          <w:sz w:val="24"/>
          <w:szCs w:val="24"/>
          <w:highlight w:val="none"/>
          <w:lang w:val="en-US" w:eastAsia="zh-CN"/>
        </w:rPr>
        <w:t>3</w:t>
      </w:r>
      <w:r>
        <w:rPr>
          <w:rFonts w:hint="default" w:ascii="仿宋_GB2312" w:hAnsi="宋体" w:eastAsia="仿宋_GB2312" w:cs="Times New Roman"/>
          <w:b/>
          <w:bCs w:val="0"/>
          <w:color w:val="auto"/>
          <w:sz w:val="24"/>
          <w:szCs w:val="24"/>
          <w:highlight w:val="none"/>
          <w:lang w:eastAsia="zh-CN"/>
        </w:rPr>
        <w:t xml:space="preserve">. </w:t>
      </w:r>
      <w:r>
        <w:rPr>
          <w:rFonts w:hint="eastAsia" w:ascii="仿宋_GB2312" w:hAnsi="宋体" w:eastAsia="仿宋_GB2312" w:cs="Times New Roman"/>
          <w:b/>
          <w:bCs w:val="0"/>
          <w:color w:val="auto"/>
          <w:sz w:val="24"/>
          <w:szCs w:val="24"/>
          <w:highlight w:val="none"/>
          <w:lang w:val="en-US" w:eastAsia="zh-CN"/>
        </w:rPr>
        <w:t>专业学位申请者，必须参加和完成毕业设计与论文选题、开题、中期检查、毕业设计、毕业论文、论文答辩全过程。</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lang w:val="en-US" w:eastAsia="zh-CN"/>
        </w:rPr>
      </w:pPr>
      <w:r>
        <w:rPr>
          <w:rFonts w:hint="eastAsia" w:ascii="仿宋_GB2312" w:hAnsi="宋体" w:eastAsia="仿宋_GB2312" w:cs="Times New Roman"/>
          <w:b/>
          <w:bCs w:val="0"/>
          <w:color w:val="auto"/>
          <w:sz w:val="24"/>
          <w:szCs w:val="24"/>
          <w:highlight w:val="none"/>
          <w:lang w:val="en-US" w:eastAsia="zh-CN"/>
        </w:rPr>
        <w:t>4</w:t>
      </w:r>
      <w:r>
        <w:rPr>
          <w:rFonts w:hint="default" w:ascii="仿宋_GB2312" w:hAnsi="宋体" w:eastAsia="仿宋_GB2312" w:cs="Times New Roman"/>
          <w:b/>
          <w:bCs w:val="0"/>
          <w:color w:val="auto"/>
          <w:sz w:val="24"/>
          <w:szCs w:val="24"/>
          <w:highlight w:val="none"/>
          <w:lang w:eastAsia="zh-CN"/>
        </w:rPr>
        <w:t xml:space="preserve">. </w:t>
      </w:r>
      <w:r>
        <w:rPr>
          <w:rFonts w:hint="eastAsia" w:ascii="仿宋_GB2312" w:hAnsi="宋体" w:eastAsia="仿宋_GB2312" w:cs="Times New Roman"/>
          <w:b/>
          <w:bCs w:val="0"/>
          <w:color w:val="auto"/>
          <w:sz w:val="24"/>
          <w:szCs w:val="24"/>
          <w:highlight w:val="none"/>
          <w:lang w:val="en-US" w:eastAsia="zh-CN"/>
        </w:rPr>
        <w:t>专业学位申请者，必须参加和通过专业学位论文答辩。</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lang w:val="en-US" w:eastAsia="zh-CN"/>
        </w:rPr>
      </w:pPr>
      <w:r>
        <w:rPr>
          <w:rFonts w:hint="eastAsia" w:ascii="仿宋_GB2312" w:hAnsi="宋体" w:eastAsia="仿宋_GB2312" w:cs="Times New Roman"/>
          <w:b/>
          <w:bCs w:val="0"/>
          <w:color w:val="auto"/>
          <w:sz w:val="24"/>
          <w:szCs w:val="24"/>
          <w:highlight w:val="none"/>
          <w:lang w:val="en-US" w:eastAsia="zh-CN"/>
        </w:rPr>
        <w:t>5</w:t>
      </w:r>
      <w:r>
        <w:rPr>
          <w:rFonts w:hint="default" w:ascii="仿宋_GB2312" w:hAnsi="宋体" w:eastAsia="仿宋_GB2312" w:cs="Times New Roman"/>
          <w:b/>
          <w:bCs w:val="0"/>
          <w:color w:val="auto"/>
          <w:sz w:val="24"/>
          <w:szCs w:val="24"/>
          <w:highlight w:val="none"/>
          <w:lang w:eastAsia="zh-CN"/>
        </w:rPr>
        <w:t xml:space="preserve">. </w:t>
      </w:r>
      <w:r>
        <w:rPr>
          <w:rFonts w:hint="eastAsia" w:ascii="仿宋_GB2312" w:hAnsi="宋体" w:eastAsia="仿宋_GB2312" w:cs="Times New Roman"/>
          <w:b/>
          <w:bCs w:val="0"/>
          <w:color w:val="auto"/>
          <w:sz w:val="24"/>
          <w:szCs w:val="24"/>
          <w:highlight w:val="none"/>
          <w:lang w:val="en-US" w:eastAsia="zh-CN"/>
        </w:rPr>
        <w:t>专业学位论文评价结果分为：优秀、良好、合格、不合格四种。</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default" w:ascii="仿宋_GB2312" w:hAnsi="宋体" w:eastAsia="仿宋_GB2312" w:cs="Times New Roman"/>
          <w:b/>
          <w:bCs w:val="0"/>
          <w:color w:val="auto"/>
          <w:sz w:val="24"/>
          <w:szCs w:val="24"/>
          <w:highlight w:val="none"/>
          <w:lang w:val="en-US" w:eastAsia="zh-Hans"/>
        </w:rPr>
      </w:pPr>
      <w:r>
        <w:rPr>
          <w:rFonts w:hint="eastAsia" w:ascii="仿宋_GB2312" w:hAnsi="宋体" w:eastAsia="仿宋_GB2312" w:cs="Times New Roman"/>
          <w:b/>
          <w:bCs w:val="0"/>
          <w:color w:val="auto"/>
          <w:sz w:val="24"/>
          <w:szCs w:val="24"/>
          <w:highlight w:val="none"/>
          <w:lang w:val="en-US" w:eastAsia="zh-Hans"/>
        </w:rPr>
        <w:t>优秀</w:t>
      </w:r>
      <w:r>
        <w:rPr>
          <w:rFonts w:hint="default" w:ascii="仿宋_GB2312" w:hAnsi="宋体" w:eastAsia="仿宋_GB2312" w:cs="Times New Roman"/>
          <w:b/>
          <w:bCs w:val="0"/>
          <w:color w:val="auto"/>
          <w:sz w:val="24"/>
          <w:szCs w:val="24"/>
          <w:highlight w:val="none"/>
          <w:lang w:val="en-US" w:eastAsia="zh-Hans"/>
        </w:rPr>
        <w:t>：85</w:t>
      </w:r>
      <w:r>
        <w:rPr>
          <w:rFonts w:hint="eastAsia" w:ascii="仿宋_GB2312" w:hAnsi="宋体" w:eastAsia="仿宋_GB2312" w:cs="Times New Roman"/>
          <w:b/>
          <w:bCs w:val="0"/>
          <w:color w:val="auto"/>
          <w:sz w:val="24"/>
          <w:szCs w:val="24"/>
          <w:highlight w:val="none"/>
          <w:lang w:val="en-US" w:eastAsia="zh-Hans"/>
        </w:rPr>
        <w:t>分以上</w:t>
      </w:r>
      <w:r>
        <w:rPr>
          <w:rFonts w:hint="default" w:ascii="仿宋_GB2312" w:hAnsi="宋体" w:eastAsia="仿宋_GB2312" w:cs="Times New Roman"/>
          <w:b/>
          <w:bCs w:val="0"/>
          <w:color w:val="auto"/>
          <w:sz w:val="24"/>
          <w:szCs w:val="24"/>
          <w:highlight w:val="none"/>
          <w:lang w:val="en-US" w:eastAsia="zh-Hans"/>
        </w:rPr>
        <w:t>（</w:t>
      </w:r>
      <w:r>
        <w:rPr>
          <w:rFonts w:hint="eastAsia" w:ascii="仿宋_GB2312" w:hAnsi="宋体" w:eastAsia="仿宋_GB2312" w:cs="Times New Roman"/>
          <w:b/>
          <w:bCs w:val="0"/>
          <w:color w:val="auto"/>
          <w:sz w:val="24"/>
          <w:szCs w:val="24"/>
          <w:highlight w:val="none"/>
          <w:lang w:val="en-US" w:eastAsia="zh-Hans"/>
        </w:rPr>
        <w:t>含</w:t>
      </w:r>
      <w:r>
        <w:rPr>
          <w:rFonts w:hint="default" w:ascii="仿宋_GB2312" w:hAnsi="宋体" w:eastAsia="仿宋_GB2312" w:cs="Times New Roman"/>
          <w:b/>
          <w:bCs w:val="0"/>
          <w:color w:val="auto"/>
          <w:sz w:val="24"/>
          <w:szCs w:val="24"/>
          <w:highlight w:val="none"/>
          <w:lang w:val="en-US" w:eastAsia="zh-Hans"/>
        </w:rPr>
        <w:t>85</w:t>
      </w:r>
      <w:r>
        <w:rPr>
          <w:rFonts w:hint="eastAsia" w:ascii="仿宋_GB2312" w:hAnsi="宋体" w:eastAsia="仿宋_GB2312" w:cs="Times New Roman"/>
          <w:b/>
          <w:bCs w:val="0"/>
          <w:color w:val="auto"/>
          <w:sz w:val="24"/>
          <w:szCs w:val="24"/>
          <w:highlight w:val="none"/>
          <w:lang w:val="en-US" w:eastAsia="zh-Hans"/>
        </w:rPr>
        <w:t>分</w:t>
      </w:r>
      <w:r>
        <w:rPr>
          <w:rFonts w:hint="default" w:ascii="仿宋_GB2312" w:hAnsi="宋体" w:eastAsia="仿宋_GB2312" w:cs="Times New Roman"/>
          <w:b/>
          <w:bCs w:val="0"/>
          <w:color w:val="auto"/>
          <w:sz w:val="24"/>
          <w:szCs w:val="24"/>
          <w:highlight w:val="none"/>
          <w:lang w:val="en-US" w:eastAsia="zh-Hans"/>
        </w:rPr>
        <w:t>）</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default" w:ascii="仿宋_GB2312" w:hAnsi="宋体" w:eastAsia="仿宋_GB2312" w:cs="Times New Roman"/>
          <w:b/>
          <w:bCs w:val="0"/>
          <w:color w:val="auto"/>
          <w:sz w:val="24"/>
          <w:szCs w:val="24"/>
          <w:highlight w:val="none"/>
          <w:lang w:val="en-US" w:eastAsia="zh-Hans"/>
        </w:rPr>
      </w:pPr>
      <w:r>
        <w:rPr>
          <w:rFonts w:hint="eastAsia" w:ascii="仿宋_GB2312" w:hAnsi="宋体" w:eastAsia="仿宋_GB2312" w:cs="Times New Roman"/>
          <w:b/>
          <w:bCs w:val="0"/>
          <w:color w:val="auto"/>
          <w:sz w:val="24"/>
          <w:szCs w:val="24"/>
          <w:highlight w:val="none"/>
          <w:lang w:val="en-US" w:eastAsia="zh-Hans"/>
        </w:rPr>
        <w:t>良好</w:t>
      </w:r>
      <w:r>
        <w:rPr>
          <w:rFonts w:hint="default" w:ascii="仿宋_GB2312" w:hAnsi="宋体" w:eastAsia="仿宋_GB2312" w:cs="Times New Roman"/>
          <w:b/>
          <w:bCs w:val="0"/>
          <w:color w:val="auto"/>
          <w:sz w:val="24"/>
          <w:szCs w:val="24"/>
          <w:highlight w:val="none"/>
          <w:lang w:val="en-US" w:eastAsia="zh-Hans"/>
        </w:rPr>
        <w:t>：84</w:t>
      </w:r>
      <w:r>
        <w:rPr>
          <w:rFonts w:hint="eastAsia" w:ascii="仿宋_GB2312" w:hAnsi="宋体" w:eastAsia="仿宋_GB2312" w:cs="Times New Roman"/>
          <w:b/>
          <w:bCs w:val="0"/>
          <w:color w:val="auto"/>
          <w:sz w:val="24"/>
          <w:szCs w:val="24"/>
          <w:highlight w:val="none"/>
          <w:lang w:val="en-US" w:eastAsia="zh-Hans"/>
        </w:rPr>
        <w:t>分</w:t>
      </w:r>
      <w:r>
        <w:rPr>
          <w:rFonts w:hint="default" w:ascii="仿宋_GB2312" w:hAnsi="宋体" w:eastAsia="仿宋_GB2312" w:cs="Times New Roman"/>
          <w:b/>
          <w:bCs w:val="0"/>
          <w:color w:val="auto"/>
          <w:sz w:val="24"/>
          <w:szCs w:val="24"/>
          <w:highlight w:val="none"/>
          <w:lang w:val="en-US" w:eastAsia="zh-Hans"/>
        </w:rPr>
        <w:t>-70</w:t>
      </w:r>
      <w:r>
        <w:rPr>
          <w:rFonts w:hint="eastAsia" w:ascii="仿宋_GB2312" w:hAnsi="宋体" w:eastAsia="仿宋_GB2312" w:cs="Times New Roman"/>
          <w:b/>
          <w:bCs w:val="0"/>
          <w:color w:val="auto"/>
          <w:sz w:val="24"/>
          <w:szCs w:val="24"/>
          <w:highlight w:val="none"/>
          <w:lang w:val="en-US" w:eastAsia="zh-Hans"/>
        </w:rPr>
        <w:t>分</w:t>
      </w:r>
      <w:r>
        <w:rPr>
          <w:rFonts w:hint="default" w:ascii="仿宋_GB2312" w:hAnsi="宋体" w:eastAsia="仿宋_GB2312" w:cs="Times New Roman"/>
          <w:b/>
          <w:bCs w:val="0"/>
          <w:color w:val="auto"/>
          <w:sz w:val="24"/>
          <w:szCs w:val="24"/>
          <w:highlight w:val="none"/>
          <w:lang w:val="en-US" w:eastAsia="zh-Hans"/>
        </w:rPr>
        <w:t>（</w:t>
      </w:r>
      <w:r>
        <w:rPr>
          <w:rFonts w:hint="eastAsia" w:ascii="仿宋_GB2312" w:hAnsi="宋体" w:eastAsia="仿宋_GB2312" w:cs="Times New Roman"/>
          <w:b/>
          <w:bCs w:val="0"/>
          <w:color w:val="auto"/>
          <w:sz w:val="24"/>
          <w:szCs w:val="24"/>
          <w:highlight w:val="none"/>
          <w:lang w:val="en-US" w:eastAsia="zh-Hans"/>
        </w:rPr>
        <w:t>含</w:t>
      </w:r>
      <w:r>
        <w:rPr>
          <w:rFonts w:hint="default" w:ascii="仿宋_GB2312" w:hAnsi="宋体" w:eastAsia="仿宋_GB2312" w:cs="Times New Roman"/>
          <w:b/>
          <w:bCs w:val="0"/>
          <w:color w:val="auto"/>
          <w:sz w:val="24"/>
          <w:szCs w:val="24"/>
          <w:highlight w:val="none"/>
          <w:lang w:val="en-US" w:eastAsia="zh-Hans"/>
        </w:rPr>
        <w:t>70</w:t>
      </w:r>
      <w:r>
        <w:rPr>
          <w:rFonts w:hint="eastAsia" w:ascii="仿宋_GB2312" w:hAnsi="宋体" w:eastAsia="仿宋_GB2312" w:cs="Times New Roman"/>
          <w:b/>
          <w:bCs w:val="0"/>
          <w:color w:val="auto"/>
          <w:sz w:val="24"/>
          <w:szCs w:val="24"/>
          <w:highlight w:val="none"/>
          <w:lang w:val="en-US" w:eastAsia="zh-Hans"/>
        </w:rPr>
        <w:t>分</w:t>
      </w:r>
      <w:r>
        <w:rPr>
          <w:rFonts w:hint="default" w:ascii="仿宋_GB2312" w:hAnsi="宋体" w:eastAsia="仿宋_GB2312" w:cs="Times New Roman"/>
          <w:b/>
          <w:bCs w:val="0"/>
          <w:color w:val="auto"/>
          <w:sz w:val="24"/>
          <w:szCs w:val="24"/>
          <w:highlight w:val="none"/>
          <w:lang w:val="en-US" w:eastAsia="zh-Hans"/>
        </w:rPr>
        <w:t>）</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default" w:ascii="仿宋_GB2312" w:hAnsi="宋体" w:eastAsia="仿宋_GB2312" w:cs="Times New Roman"/>
          <w:b/>
          <w:bCs w:val="0"/>
          <w:color w:val="auto"/>
          <w:sz w:val="24"/>
          <w:szCs w:val="24"/>
          <w:highlight w:val="none"/>
          <w:lang w:val="en-US" w:eastAsia="zh-Hans"/>
        </w:rPr>
      </w:pPr>
      <w:r>
        <w:rPr>
          <w:rFonts w:hint="eastAsia" w:ascii="仿宋_GB2312" w:hAnsi="宋体" w:eastAsia="仿宋_GB2312" w:cs="Times New Roman"/>
          <w:b/>
          <w:bCs w:val="0"/>
          <w:color w:val="auto"/>
          <w:sz w:val="24"/>
          <w:szCs w:val="24"/>
          <w:highlight w:val="none"/>
          <w:lang w:val="en-US" w:eastAsia="zh-Hans"/>
        </w:rPr>
        <w:t>合格</w:t>
      </w:r>
      <w:r>
        <w:rPr>
          <w:rFonts w:hint="default" w:ascii="仿宋_GB2312" w:hAnsi="宋体" w:eastAsia="仿宋_GB2312" w:cs="Times New Roman"/>
          <w:b/>
          <w:bCs w:val="0"/>
          <w:color w:val="auto"/>
          <w:sz w:val="24"/>
          <w:szCs w:val="24"/>
          <w:highlight w:val="none"/>
          <w:lang w:val="en-US" w:eastAsia="zh-Hans"/>
        </w:rPr>
        <w:t>：69</w:t>
      </w:r>
      <w:r>
        <w:rPr>
          <w:rFonts w:hint="eastAsia" w:ascii="仿宋_GB2312" w:hAnsi="宋体" w:eastAsia="仿宋_GB2312" w:cs="Times New Roman"/>
          <w:b/>
          <w:bCs w:val="0"/>
          <w:color w:val="auto"/>
          <w:sz w:val="24"/>
          <w:szCs w:val="24"/>
          <w:highlight w:val="none"/>
          <w:lang w:val="en-US" w:eastAsia="zh-Hans"/>
        </w:rPr>
        <w:t>分</w:t>
      </w:r>
      <w:r>
        <w:rPr>
          <w:rFonts w:hint="default" w:ascii="仿宋_GB2312" w:hAnsi="宋体" w:eastAsia="仿宋_GB2312" w:cs="Times New Roman"/>
          <w:b/>
          <w:bCs w:val="0"/>
          <w:color w:val="auto"/>
          <w:sz w:val="24"/>
          <w:szCs w:val="24"/>
          <w:highlight w:val="none"/>
          <w:lang w:val="en-US" w:eastAsia="zh-Hans"/>
        </w:rPr>
        <w:t>-60</w:t>
      </w:r>
      <w:r>
        <w:rPr>
          <w:rFonts w:hint="eastAsia" w:ascii="仿宋_GB2312" w:hAnsi="宋体" w:eastAsia="仿宋_GB2312" w:cs="Times New Roman"/>
          <w:b/>
          <w:bCs w:val="0"/>
          <w:color w:val="auto"/>
          <w:sz w:val="24"/>
          <w:szCs w:val="24"/>
          <w:highlight w:val="none"/>
          <w:lang w:val="en-US" w:eastAsia="zh-Hans"/>
        </w:rPr>
        <w:t>分</w:t>
      </w:r>
      <w:r>
        <w:rPr>
          <w:rFonts w:hint="default" w:ascii="仿宋_GB2312" w:hAnsi="宋体" w:eastAsia="仿宋_GB2312" w:cs="Times New Roman"/>
          <w:b/>
          <w:bCs w:val="0"/>
          <w:color w:val="auto"/>
          <w:sz w:val="24"/>
          <w:szCs w:val="24"/>
          <w:highlight w:val="none"/>
          <w:lang w:val="en-US" w:eastAsia="zh-Hans"/>
        </w:rPr>
        <w:t>（</w:t>
      </w:r>
      <w:r>
        <w:rPr>
          <w:rFonts w:hint="eastAsia" w:ascii="仿宋_GB2312" w:hAnsi="宋体" w:eastAsia="仿宋_GB2312" w:cs="Times New Roman"/>
          <w:b/>
          <w:bCs w:val="0"/>
          <w:color w:val="auto"/>
          <w:sz w:val="24"/>
          <w:szCs w:val="24"/>
          <w:highlight w:val="none"/>
          <w:lang w:val="en-US" w:eastAsia="zh-Hans"/>
        </w:rPr>
        <w:t>含</w:t>
      </w:r>
      <w:r>
        <w:rPr>
          <w:rFonts w:hint="default" w:ascii="仿宋_GB2312" w:hAnsi="宋体" w:eastAsia="仿宋_GB2312" w:cs="Times New Roman"/>
          <w:b/>
          <w:bCs w:val="0"/>
          <w:color w:val="auto"/>
          <w:sz w:val="24"/>
          <w:szCs w:val="24"/>
          <w:highlight w:val="none"/>
          <w:lang w:val="en-US" w:eastAsia="zh-Hans"/>
        </w:rPr>
        <w:t>60</w:t>
      </w:r>
      <w:r>
        <w:rPr>
          <w:rFonts w:hint="eastAsia" w:ascii="仿宋_GB2312" w:hAnsi="宋体" w:eastAsia="仿宋_GB2312" w:cs="Times New Roman"/>
          <w:b/>
          <w:bCs w:val="0"/>
          <w:color w:val="auto"/>
          <w:sz w:val="24"/>
          <w:szCs w:val="24"/>
          <w:highlight w:val="none"/>
          <w:lang w:val="en-US" w:eastAsia="zh-Hans"/>
        </w:rPr>
        <w:t>分</w:t>
      </w:r>
      <w:r>
        <w:rPr>
          <w:rFonts w:hint="default" w:ascii="仿宋_GB2312" w:hAnsi="宋体" w:eastAsia="仿宋_GB2312" w:cs="Times New Roman"/>
          <w:b/>
          <w:bCs w:val="0"/>
          <w:color w:val="auto"/>
          <w:sz w:val="24"/>
          <w:szCs w:val="24"/>
          <w:highlight w:val="none"/>
          <w:lang w:val="en-US" w:eastAsia="zh-Hans"/>
        </w:rPr>
        <w:t>）</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lang w:val="en-US" w:eastAsia="zh-Hans"/>
        </w:rPr>
      </w:pPr>
      <w:r>
        <w:rPr>
          <w:rFonts w:hint="eastAsia" w:ascii="仿宋_GB2312" w:hAnsi="宋体" w:eastAsia="仿宋_GB2312" w:cs="Times New Roman"/>
          <w:b/>
          <w:bCs w:val="0"/>
          <w:color w:val="auto"/>
          <w:sz w:val="24"/>
          <w:szCs w:val="24"/>
          <w:highlight w:val="none"/>
          <w:lang w:val="en-US" w:eastAsia="zh-Hans"/>
        </w:rPr>
        <w:t>不合格</w:t>
      </w:r>
      <w:r>
        <w:rPr>
          <w:rFonts w:hint="default" w:ascii="仿宋_GB2312" w:hAnsi="宋体" w:eastAsia="仿宋_GB2312" w:cs="Times New Roman"/>
          <w:b/>
          <w:bCs w:val="0"/>
          <w:color w:val="auto"/>
          <w:sz w:val="24"/>
          <w:szCs w:val="24"/>
          <w:highlight w:val="none"/>
          <w:lang w:val="en-US" w:eastAsia="zh-Hans"/>
        </w:rPr>
        <w:t>：60</w:t>
      </w:r>
      <w:r>
        <w:rPr>
          <w:rFonts w:hint="eastAsia" w:ascii="仿宋_GB2312" w:hAnsi="宋体" w:eastAsia="仿宋_GB2312" w:cs="Times New Roman"/>
          <w:b/>
          <w:bCs w:val="0"/>
          <w:color w:val="auto"/>
          <w:sz w:val="24"/>
          <w:szCs w:val="24"/>
          <w:highlight w:val="none"/>
          <w:lang w:val="en-US" w:eastAsia="zh-Hans"/>
        </w:rPr>
        <w:t>分以下</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lang w:val="en-US" w:eastAsia="zh-CN"/>
        </w:rPr>
      </w:pPr>
      <w:r>
        <w:rPr>
          <w:rFonts w:hint="eastAsia" w:ascii="仿宋_GB2312" w:hAnsi="宋体" w:eastAsia="仿宋_GB2312" w:cs="Times New Roman"/>
          <w:b/>
          <w:bCs w:val="0"/>
          <w:color w:val="auto"/>
          <w:sz w:val="24"/>
          <w:szCs w:val="24"/>
          <w:highlight w:val="none"/>
          <w:lang w:val="en-US" w:eastAsia="zh-CN"/>
        </w:rPr>
        <w:t>（四）毕业考核委员会</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lang w:val="en-US" w:eastAsia="zh-CN"/>
        </w:rPr>
      </w:pPr>
      <w:r>
        <w:rPr>
          <w:rFonts w:hint="eastAsia" w:ascii="仿宋_GB2312" w:hAnsi="宋体" w:eastAsia="仿宋_GB2312" w:cs="Times New Roman"/>
          <w:b/>
          <w:bCs w:val="0"/>
          <w:color w:val="auto"/>
          <w:sz w:val="24"/>
          <w:szCs w:val="24"/>
          <w:highlight w:val="none"/>
          <w:lang w:val="en-US" w:eastAsia="zh-CN"/>
        </w:rPr>
        <w:t>由相关领域具有高级职称的专家 3-5 人组成毕业考核委员会（考核委员会中必须包含相关行业专家一名）考核学位申请人专业实践能力展示和专业学位论文答辩是否达到合格水平；学位申请人的导师不能担任考核委员会委员。学位论文的评阅与答辩要求详见《东华理工大学研究生毕业论文（设计）答辩工作细则》等相关要求。</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lang w:val="en-US" w:eastAsia="zh-CN"/>
        </w:rPr>
      </w:pPr>
      <w:r>
        <w:rPr>
          <w:rFonts w:hint="eastAsia" w:ascii="仿宋_GB2312" w:hAnsi="宋体" w:eastAsia="仿宋_GB2312" w:cs="Times New Roman"/>
          <w:b/>
          <w:bCs w:val="0"/>
          <w:color w:val="auto"/>
          <w:sz w:val="24"/>
          <w:szCs w:val="24"/>
          <w:highlight w:val="none"/>
          <w:lang w:val="en-US" w:eastAsia="zh-CN"/>
        </w:rPr>
        <w:t>（五）其他规定</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lang w:val="en-US" w:eastAsia="zh-CN"/>
        </w:rPr>
      </w:pPr>
      <w:r>
        <w:rPr>
          <w:rFonts w:hint="eastAsia" w:ascii="仿宋_GB2312" w:hAnsi="宋体" w:eastAsia="仿宋_GB2312" w:cs="Times New Roman"/>
          <w:b/>
          <w:bCs w:val="0"/>
          <w:color w:val="auto"/>
          <w:sz w:val="24"/>
          <w:szCs w:val="24"/>
          <w:highlight w:val="none"/>
          <w:lang w:val="en-US" w:eastAsia="zh-CN"/>
        </w:rPr>
        <w:t>1．研究生须根据本学科研究生培养方案，在导师的指导下，结合本人实际，在入学后1个月内制订个人培养计划。</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lang w:val="en-US" w:eastAsia="zh-CN"/>
        </w:rPr>
      </w:pPr>
      <w:r>
        <w:rPr>
          <w:rFonts w:hint="eastAsia" w:ascii="仿宋_GB2312" w:hAnsi="宋体" w:eastAsia="仿宋_GB2312" w:cs="Times New Roman"/>
          <w:b/>
          <w:bCs w:val="0"/>
          <w:color w:val="auto"/>
          <w:sz w:val="24"/>
          <w:szCs w:val="24"/>
          <w:highlight w:val="none"/>
          <w:lang w:val="en-US" w:eastAsia="zh-CN"/>
        </w:rPr>
        <w:t>2．研究生培养方案和个人培养计划完成与否，是审定研究生能否毕业和学位授予的基本依据。</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lang w:val="en-US" w:eastAsia="zh-CN"/>
        </w:rPr>
      </w:pPr>
      <w:r>
        <w:rPr>
          <w:rFonts w:hint="eastAsia" w:ascii="仿宋_GB2312" w:hAnsi="宋体" w:eastAsia="仿宋_GB2312" w:cs="Times New Roman"/>
          <w:b/>
          <w:bCs w:val="0"/>
          <w:color w:val="auto"/>
          <w:sz w:val="24"/>
          <w:szCs w:val="24"/>
          <w:highlight w:val="none"/>
          <w:lang w:val="en-US" w:eastAsia="zh-CN"/>
        </w:rPr>
        <w:t>3．培养方案中规定的课程学习、实践活动、学术活动等项目，均按照学校有关管理制度的规定进行考核。</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lang w:val="en-US" w:eastAsia="zh-CN"/>
        </w:rPr>
      </w:pPr>
      <w:r>
        <w:rPr>
          <w:rFonts w:hint="eastAsia" w:ascii="仿宋_GB2312" w:hAnsi="宋体" w:eastAsia="仿宋_GB2312" w:cs="Times New Roman"/>
          <w:b/>
          <w:bCs w:val="0"/>
          <w:color w:val="auto"/>
          <w:sz w:val="24"/>
          <w:szCs w:val="24"/>
          <w:highlight w:val="none"/>
          <w:lang w:val="en-US" w:eastAsia="zh-CN"/>
        </w:rPr>
        <w:t>4. 本学科研究生必须参加学院定期举行的硕士研究生作品展。</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lang w:val="en-US" w:eastAsia="zh-CN"/>
        </w:rPr>
      </w:pPr>
      <w:r>
        <w:rPr>
          <w:rFonts w:hint="eastAsia" w:ascii="仿宋_GB2312" w:hAnsi="宋体" w:eastAsia="仿宋_GB2312" w:cs="Times New Roman"/>
          <w:b/>
          <w:bCs w:val="0"/>
          <w:color w:val="auto"/>
          <w:sz w:val="24"/>
          <w:szCs w:val="24"/>
          <w:highlight w:val="none"/>
          <w:lang w:val="en-US" w:eastAsia="zh-CN"/>
        </w:rPr>
        <w:t>5．其它培养环节（如中期考核等）执行学校有关规定。</w:t>
      </w:r>
    </w:p>
    <w:p>
      <w:pPr>
        <w:spacing w:line="240" w:lineRule="auto"/>
        <w:outlineLvl w:val="0"/>
        <w:rPr>
          <w:rFonts w:ascii="黑体" w:hAnsi="黑体" w:eastAsia="黑体"/>
          <w:b/>
          <w:bCs w:val="0"/>
          <w:color w:val="auto"/>
          <w:sz w:val="28"/>
          <w:szCs w:val="28"/>
          <w:highlight w:val="none"/>
        </w:rPr>
      </w:pPr>
      <w:r>
        <w:rPr>
          <w:rFonts w:hint="eastAsia" w:ascii="黑体" w:hAnsi="黑体" w:eastAsia="黑体"/>
          <w:b/>
          <w:bCs w:val="0"/>
          <w:color w:val="auto"/>
          <w:sz w:val="28"/>
          <w:szCs w:val="28"/>
          <w:highlight w:val="none"/>
        </w:rPr>
        <w:t>十、学位授予</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lang w:val="en-US" w:eastAsia="zh-CN"/>
        </w:rPr>
      </w:pPr>
      <w:r>
        <w:rPr>
          <w:rFonts w:hint="eastAsia" w:ascii="仿宋_GB2312" w:hAnsi="宋体" w:eastAsia="仿宋_GB2312" w:cs="Times New Roman"/>
          <w:b/>
          <w:bCs w:val="0"/>
          <w:color w:val="auto"/>
          <w:sz w:val="24"/>
          <w:szCs w:val="24"/>
          <w:highlight w:val="none"/>
          <w:lang w:val="en-US" w:eastAsia="zh-CN"/>
        </w:rPr>
        <w:t>修满规定学分并毕业考核合格者，经东华理工大学学位评定委员会审核批准，授予艺术硕士专业学位，颁发艺术硕士学位证书和毕业证书。</w:t>
      </w:r>
    </w:p>
    <w:p>
      <w:pPr>
        <w:spacing w:line="240" w:lineRule="auto"/>
        <w:outlineLvl w:val="0"/>
        <w:rPr>
          <w:rFonts w:ascii="黑体" w:hAnsi="黑体" w:eastAsia="黑体"/>
          <w:b/>
          <w:bCs w:val="0"/>
          <w:color w:val="auto"/>
          <w:sz w:val="28"/>
          <w:szCs w:val="28"/>
          <w:highlight w:val="none"/>
        </w:rPr>
      </w:pPr>
      <w:r>
        <w:rPr>
          <w:rFonts w:hint="eastAsia" w:ascii="黑体" w:hAnsi="黑体" w:eastAsia="黑体"/>
          <w:b/>
          <w:bCs w:val="0"/>
          <w:color w:val="auto"/>
          <w:sz w:val="28"/>
          <w:szCs w:val="28"/>
          <w:highlight w:val="none"/>
        </w:rPr>
        <w:t>十一、学业档案</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lang w:val="en-US" w:eastAsia="zh-CN"/>
        </w:rPr>
      </w:pPr>
      <w:r>
        <w:rPr>
          <w:rFonts w:hint="eastAsia" w:ascii="仿宋_GB2312" w:hAnsi="宋体" w:eastAsia="仿宋_GB2312" w:cs="Times New Roman"/>
          <w:b/>
          <w:bCs w:val="0"/>
          <w:color w:val="auto"/>
          <w:sz w:val="24"/>
          <w:szCs w:val="24"/>
          <w:highlight w:val="none"/>
          <w:lang w:val="en-US" w:eastAsia="zh-CN"/>
        </w:rPr>
        <w:t>本领域专业</w:t>
      </w:r>
      <w:r>
        <w:rPr>
          <w:rFonts w:hint="eastAsia" w:ascii="仿宋_GB2312" w:hAnsi="宋体" w:eastAsia="仿宋_GB2312" w:cs="Times New Roman"/>
          <w:b/>
          <w:bCs w:val="0"/>
          <w:color w:val="auto"/>
          <w:sz w:val="24"/>
          <w:szCs w:val="24"/>
          <w:highlight w:val="none"/>
          <w:lang w:val="en-US" w:eastAsia="zh-Hans"/>
        </w:rPr>
        <w:t>研</w:t>
      </w:r>
      <w:r>
        <w:rPr>
          <w:rFonts w:hint="eastAsia" w:ascii="仿宋_GB2312" w:hAnsi="宋体" w:eastAsia="仿宋_GB2312" w:cs="Times New Roman"/>
          <w:b/>
          <w:bCs w:val="0"/>
          <w:color w:val="auto"/>
          <w:sz w:val="24"/>
          <w:szCs w:val="24"/>
          <w:highlight w:val="none"/>
          <w:lang w:val="en-US" w:eastAsia="zh-CN"/>
        </w:rPr>
        <w:t>究生课程学习情况（学分、成绩等）、专业实践能力展示（现场影音录像等）和专业学位论文答辩相关资料须纳入个人《学业档案》，由学院存档。</w:t>
      </w:r>
    </w:p>
    <w:p>
      <w:pPr>
        <w:spacing w:line="240" w:lineRule="auto"/>
        <w:jc w:val="both"/>
        <w:rPr>
          <w:rFonts w:hint="eastAsia" w:ascii="仿宋_GB2312" w:hAnsi="仿宋" w:eastAsia="仿宋_GB2312"/>
          <w:b/>
          <w:bCs w:val="0"/>
          <w:color w:val="auto"/>
          <w:sz w:val="28"/>
          <w:szCs w:val="28"/>
          <w:highlight w:val="none"/>
          <w:lang w:val="en-US" w:eastAsia="zh-CN"/>
        </w:rPr>
      </w:pPr>
    </w:p>
    <w:p>
      <w:pPr>
        <w:spacing w:line="240" w:lineRule="auto"/>
        <w:jc w:val="both"/>
        <w:rPr>
          <w:rFonts w:hint="eastAsia" w:ascii="仿宋_GB2312" w:hAnsi="仿宋" w:eastAsia="仿宋_GB2312"/>
          <w:b/>
          <w:bCs w:val="0"/>
          <w:color w:val="auto"/>
          <w:sz w:val="28"/>
          <w:szCs w:val="28"/>
          <w:highlight w:val="none"/>
          <w:lang w:val="en-US" w:eastAsia="zh-CN"/>
        </w:rPr>
      </w:pPr>
    </w:p>
    <w:p>
      <w:pPr>
        <w:shd w:val="clear" w:color="auto" w:fill="FFFFFF"/>
        <w:spacing w:line="240" w:lineRule="auto"/>
        <w:ind w:left="420" w:leftChars="200" w:firstLine="140" w:firstLineChars="50"/>
        <w:rPr>
          <w:rFonts w:hint="eastAsia" w:ascii="黑体" w:hAnsi="黑体" w:eastAsia="黑体" w:cs="Times New Roman"/>
          <w:b/>
          <w:bCs w:val="0"/>
          <w:color w:val="auto"/>
          <w:kern w:val="0"/>
          <w:sz w:val="28"/>
          <w:szCs w:val="28"/>
          <w:highlight w:val="none"/>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等线">
    <w:altName w:val="汉仪中等线KW"/>
    <w:panose1 w:val="00000000000000000000"/>
    <w:charset w:val="86"/>
    <w:family w:val="auto"/>
    <w:pitch w:val="default"/>
    <w:sig w:usb0="00000000" w:usb1="00000000" w:usb2="00000016" w:usb3="00000000" w:csb0="0004000F" w:csb1="00000000"/>
  </w:font>
  <w:font w:name="仿宋_GB2312">
    <w:altName w:val="方正仿宋_GBK"/>
    <w:panose1 w:val="00000000000000000000"/>
    <w:charset w:val="86"/>
    <w:family w:val="modern"/>
    <w:pitch w:val="default"/>
    <w:sig w:usb0="00000000" w:usb1="00000000" w:usb2="00000000" w:usb3="00000000" w:csb0="00040000" w:csb1="00000000"/>
  </w:font>
  <w:font w:name="微软雅黑">
    <w:altName w:val="汉仪旗黑"/>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等线">
    <w:altName w:val="汉仪中等线KW"/>
    <w:panose1 w:val="00000000000000000000"/>
    <w:charset w:val="00"/>
    <w:family w:val="auto"/>
    <w:pitch w:val="default"/>
    <w:sig w:usb0="00000000" w:usb1="00000000" w:usb2="0000000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汉仪旗黑">
    <w:panose1 w:val="00020600040101010101"/>
    <w:charset w:val="86"/>
    <w:family w:val="auto"/>
    <w:pitch w:val="default"/>
    <w:sig w:usb0="A00002BF" w:usb1="1ACF7CFA" w:usb2="00000016" w:usb3="00000000" w:csb0="0004009F" w:csb1="DFD7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 w:name="宋体-简">
    <w:panose1 w:val="02010800040101010101"/>
    <w:charset w:val="86"/>
    <w:family w:val="auto"/>
    <w:pitch w:val="default"/>
    <w:sig w:usb0="00000001" w:usb1="080F0000" w:usb2="00000000" w:usb3="00000000" w:csb0="00040000" w:csb1="00000000"/>
  </w:font>
  <w:font w:name="儷宋 Pro">
    <w:panose1 w:val="02020300000000000000"/>
    <w:charset w:val="88"/>
    <w:family w:val="auto"/>
    <w:pitch w:val="default"/>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0650"/>
    </w:sdtPr>
    <w:sdtContent>
      <w:p>
        <w:pPr>
          <w:pStyle w:val="2"/>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F7D"/>
    <w:rsid w:val="00003788"/>
    <w:rsid w:val="00016C60"/>
    <w:rsid w:val="000550B3"/>
    <w:rsid w:val="00056512"/>
    <w:rsid w:val="00076562"/>
    <w:rsid w:val="00076B58"/>
    <w:rsid w:val="00083226"/>
    <w:rsid w:val="00096CB6"/>
    <w:rsid w:val="000D2AAC"/>
    <w:rsid w:val="000D5295"/>
    <w:rsid w:val="000E6E9E"/>
    <w:rsid w:val="00103873"/>
    <w:rsid w:val="001138B7"/>
    <w:rsid w:val="00121CB9"/>
    <w:rsid w:val="00124617"/>
    <w:rsid w:val="00124AA3"/>
    <w:rsid w:val="00141A8A"/>
    <w:rsid w:val="001445A4"/>
    <w:rsid w:val="00147B04"/>
    <w:rsid w:val="00165E50"/>
    <w:rsid w:val="00173A58"/>
    <w:rsid w:val="001776E5"/>
    <w:rsid w:val="001811F5"/>
    <w:rsid w:val="00192783"/>
    <w:rsid w:val="001A4EF0"/>
    <w:rsid w:val="001B6A22"/>
    <w:rsid w:val="001B7E5E"/>
    <w:rsid w:val="001C3F00"/>
    <w:rsid w:val="001D2539"/>
    <w:rsid w:val="001E1165"/>
    <w:rsid w:val="001E7E5C"/>
    <w:rsid w:val="001F305A"/>
    <w:rsid w:val="002029F5"/>
    <w:rsid w:val="00211B18"/>
    <w:rsid w:val="00216DFC"/>
    <w:rsid w:val="00251CDE"/>
    <w:rsid w:val="002545F4"/>
    <w:rsid w:val="002662CF"/>
    <w:rsid w:val="0027270C"/>
    <w:rsid w:val="002820FA"/>
    <w:rsid w:val="00284F9F"/>
    <w:rsid w:val="00286555"/>
    <w:rsid w:val="002A2035"/>
    <w:rsid w:val="002C45AE"/>
    <w:rsid w:val="002E2EAE"/>
    <w:rsid w:val="002F0A5F"/>
    <w:rsid w:val="002F279F"/>
    <w:rsid w:val="00314FA0"/>
    <w:rsid w:val="00323AC1"/>
    <w:rsid w:val="00324840"/>
    <w:rsid w:val="00326517"/>
    <w:rsid w:val="0037353A"/>
    <w:rsid w:val="00390F7D"/>
    <w:rsid w:val="00395094"/>
    <w:rsid w:val="003B1BA0"/>
    <w:rsid w:val="003C2428"/>
    <w:rsid w:val="003C427D"/>
    <w:rsid w:val="003D104D"/>
    <w:rsid w:val="00405220"/>
    <w:rsid w:val="00411831"/>
    <w:rsid w:val="0044470C"/>
    <w:rsid w:val="004576FD"/>
    <w:rsid w:val="004625E6"/>
    <w:rsid w:val="00464339"/>
    <w:rsid w:val="00495555"/>
    <w:rsid w:val="004A3596"/>
    <w:rsid w:val="004C2914"/>
    <w:rsid w:val="004C6942"/>
    <w:rsid w:val="004C7400"/>
    <w:rsid w:val="004D0153"/>
    <w:rsid w:val="004D120E"/>
    <w:rsid w:val="004D1F81"/>
    <w:rsid w:val="00523D39"/>
    <w:rsid w:val="00527CC4"/>
    <w:rsid w:val="00534557"/>
    <w:rsid w:val="0054729C"/>
    <w:rsid w:val="00554E72"/>
    <w:rsid w:val="00565811"/>
    <w:rsid w:val="005674DC"/>
    <w:rsid w:val="00581694"/>
    <w:rsid w:val="005848C2"/>
    <w:rsid w:val="00596E34"/>
    <w:rsid w:val="005B35D5"/>
    <w:rsid w:val="005D3423"/>
    <w:rsid w:val="006101BB"/>
    <w:rsid w:val="006219CA"/>
    <w:rsid w:val="00633F06"/>
    <w:rsid w:val="00636041"/>
    <w:rsid w:val="006624C5"/>
    <w:rsid w:val="00673A26"/>
    <w:rsid w:val="006B6000"/>
    <w:rsid w:val="006B7E54"/>
    <w:rsid w:val="006C1EC5"/>
    <w:rsid w:val="006C3C7A"/>
    <w:rsid w:val="006D2E17"/>
    <w:rsid w:val="006D48D4"/>
    <w:rsid w:val="006F09F3"/>
    <w:rsid w:val="006F668F"/>
    <w:rsid w:val="006F7E3D"/>
    <w:rsid w:val="00707E77"/>
    <w:rsid w:val="00707EA0"/>
    <w:rsid w:val="00721154"/>
    <w:rsid w:val="00773E64"/>
    <w:rsid w:val="0077461C"/>
    <w:rsid w:val="0078393F"/>
    <w:rsid w:val="00791AD3"/>
    <w:rsid w:val="007A78C4"/>
    <w:rsid w:val="007D6439"/>
    <w:rsid w:val="007D6DFC"/>
    <w:rsid w:val="007E74A0"/>
    <w:rsid w:val="007F15F0"/>
    <w:rsid w:val="007F3577"/>
    <w:rsid w:val="007F76F1"/>
    <w:rsid w:val="008209F5"/>
    <w:rsid w:val="00835763"/>
    <w:rsid w:val="00842A2D"/>
    <w:rsid w:val="0085411C"/>
    <w:rsid w:val="00877813"/>
    <w:rsid w:val="008A5C3C"/>
    <w:rsid w:val="008C54C5"/>
    <w:rsid w:val="008D24C9"/>
    <w:rsid w:val="008D25AD"/>
    <w:rsid w:val="008E102E"/>
    <w:rsid w:val="008E4713"/>
    <w:rsid w:val="00933E82"/>
    <w:rsid w:val="0094583F"/>
    <w:rsid w:val="00946F48"/>
    <w:rsid w:val="009526B4"/>
    <w:rsid w:val="0097169F"/>
    <w:rsid w:val="0098380C"/>
    <w:rsid w:val="00990B9B"/>
    <w:rsid w:val="009B1C08"/>
    <w:rsid w:val="009B5046"/>
    <w:rsid w:val="009C1102"/>
    <w:rsid w:val="009E4A97"/>
    <w:rsid w:val="009F655F"/>
    <w:rsid w:val="00A32A17"/>
    <w:rsid w:val="00A46C7A"/>
    <w:rsid w:val="00A674A2"/>
    <w:rsid w:val="00A7099E"/>
    <w:rsid w:val="00A96816"/>
    <w:rsid w:val="00B21447"/>
    <w:rsid w:val="00B3472E"/>
    <w:rsid w:val="00B4034D"/>
    <w:rsid w:val="00B43351"/>
    <w:rsid w:val="00B450B9"/>
    <w:rsid w:val="00B565C5"/>
    <w:rsid w:val="00B6279F"/>
    <w:rsid w:val="00B70ABF"/>
    <w:rsid w:val="00B7321F"/>
    <w:rsid w:val="00B75320"/>
    <w:rsid w:val="00B83A7B"/>
    <w:rsid w:val="00B84452"/>
    <w:rsid w:val="00B90997"/>
    <w:rsid w:val="00B95847"/>
    <w:rsid w:val="00BA29BE"/>
    <w:rsid w:val="00BA3E61"/>
    <w:rsid w:val="00BB4EE6"/>
    <w:rsid w:val="00BC0F7C"/>
    <w:rsid w:val="00BC490C"/>
    <w:rsid w:val="00BF2FBB"/>
    <w:rsid w:val="00BF5009"/>
    <w:rsid w:val="00C12449"/>
    <w:rsid w:val="00C459D5"/>
    <w:rsid w:val="00C462C6"/>
    <w:rsid w:val="00C5719E"/>
    <w:rsid w:val="00C6077F"/>
    <w:rsid w:val="00C622EA"/>
    <w:rsid w:val="00C70FE5"/>
    <w:rsid w:val="00C72B90"/>
    <w:rsid w:val="00C912F2"/>
    <w:rsid w:val="00CB00EB"/>
    <w:rsid w:val="00CC04FD"/>
    <w:rsid w:val="00CC147E"/>
    <w:rsid w:val="00CE2E31"/>
    <w:rsid w:val="00CF0431"/>
    <w:rsid w:val="00D21F37"/>
    <w:rsid w:val="00D34F33"/>
    <w:rsid w:val="00D7236C"/>
    <w:rsid w:val="00D73CF9"/>
    <w:rsid w:val="00DA6229"/>
    <w:rsid w:val="00DC0834"/>
    <w:rsid w:val="00DC169E"/>
    <w:rsid w:val="00DD4416"/>
    <w:rsid w:val="00DD6950"/>
    <w:rsid w:val="00DE56BE"/>
    <w:rsid w:val="00DE6312"/>
    <w:rsid w:val="00DF3EEE"/>
    <w:rsid w:val="00E00285"/>
    <w:rsid w:val="00E02F18"/>
    <w:rsid w:val="00E2557D"/>
    <w:rsid w:val="00E26645"/>
    <w:rsid w:val="00E26B8B"/>
    <w:rsid w:val="00E45828"/>
    <w:rsid w:val="00E47A88"/>
    <w:rsid w:val="00E572CF"/>
    <w:rsid w:val="00E5765F"/>
    <w:rsid w:val="00E77750"/>
    <w:rsid w:val="00EA07EB"/>
    <w:rsid w:val="00ED399D"/>
    <w:rsid w:val="00ED4D69"/>
    <w:rsid w:val="00EE7F66"/>
    <w:rsid w:val="00EF003C"/>
    <w:rsid w:val="00EF7655"/>
    <w:rsid w:val="00F0499E"/>
    <w:rsid w:val="00F066E6"/>
    <w:rsid w:val="00F072C0"/>
    <w:rsid w:val="00F12949"/>
    <w:rsid w:val="00F1424B"/>
    <w:rsid w:val="00F1547C"/>
    <w:rsid w:val="00F21FC1"/>
    <w:rsid w:val="00F37FA7"/>
    <w:rsid w:val="00F54F23"/>
    <w:rsid w:val="00F8046F"/>
    <w:rsid w:val="00F809BA"/>
    <w:rsid w:val="00F9023E"/>
    <w:rsid w:val="00FA2E25"/>
    <w:rsid w:val="00FA3996"/>
    <w:rsid w:val="00FB7DC8"/>
    <w:rsid w:val="00FE43B0"/>
    <w:rsid w:val="00FE4FE7"/>
    <w:rsid w:val="013F3765"/>
    <w:rsid w:val="01D02F65"/>
    <w:rsid w:val="01ED243D"/>
    <w:rsid w:val="02277559"/>
    <w:rsid w:val="022E049D"/>
    <w:rsid w:val="02535AE7"/>
    <w:rsid w:val="02E5411C"/>
    <w:rsid w:val="02F358E3"/>
    <w:rsid w:val="039A5995"/>
    <w:rsid w:val="04806532"/>
    <w:rsid w:val="05007DC6"/>
    <w:rsid w:val="05034EE1"/>
    <w:rsid w:val="05323422"/>
    <w:rsid w:val="057A4161"/>
    <w:rsid w:val="05A54A6C"/>
    <w:rsid w:val="05BC6120"/>
    <w:rsid w:val="05D46FD0"/>
    <w:rsid w:val="05E9221B"/>
    <w:rsid w:val="06336FF9"/>
    <w:rsid w:val="06B57D52"/>
    <w:rsid w:val="06BA6BBE"/>
    <w:rsid w:val="06D11F24"/>
    <w:rsid w:val="071451DA"/>
    <w:rsid w:val="077E051A"/>
    <w:rsid w:val="07C87CE4"/>
    <w:rsid w:val="07F47E62"/>
    <w:rsid w:val="081035B2"/>
    <w:rsid w:val="08C10912"/>
    <w:rsid w:val="08C623DD"/>
    <w:rsid w:val="09B7401E"/>
    <w:rsid w:val="0A582783"/>
    <w:rsid w:val="0A9E6563"/>
    <w:rsid w:val="0AC62870"/>
    <w:rsid w:val="0B17077C"/>
    <w:rsid w:val="0B177A09"/>
    <w:rsid w:val="0B3D2B32"/>
    <w:rsid w:val="0B8724C9"/>
    <w:rsid w:val="0BC977F4"/>
    <w:rsid w:val="0C0C2AE0"/>
    <w:rsid w:val="0C0D45CB"/>
    <w:rsid w:val="0D5D20B1"/>
    <w:rsid w:val="0ED756DA"/>
    <w:rsid w:val="0EF66EB4"/>
    <w:rsid w:val="0F206669"/>
    <w:rsid w:val="100437D2"/>
    <w:rsid w:val="10481EA7"/>
    <w:rsid w:val="10A669DD"/>
    <w:rsid w:val="10E147BC"/>
    <w:rsid w:val="119E3141"/>
    <w:rsid w:val="11DB3025"/>
    <w:rsid w:val="11E873EE"/>
    <w:rsid w:val="123A4D07"/>
    <w:rsid w:val="130F5D9F"/>
    <w:rsid w:val="13192A12"/>
    <w:rsid w:val="13503F48"/>
    <w:rsid w:val="1357D8B4"/>
    <w:rsid w:val="137564D4"/>
    <w:rsid w:val="14085C31"/>
    <w:rsid w:val="147459FA"/>
    <w:rsid w:val="14B05F52"/>
    <w:rsid w:val="14FA5C85"/>
    <w:rsid w:val="154817BD"/>
    <w:rsid w:val="154A045C"/>
    <w:rsid w:val="15E578C6"/>
    <w:rsid w:val="15ED63C9"/>
    <w:rsid w:val="15FA17EC"/>
    <w:rsid w:val="161D64F7"/>
    <w:rsid w:val="16561D38"/>
    <w:rsid w:val="169D1C9A"/>
    <w:rsid w:val="173347A5"/>
    <w:rsid w:val="176F011A"/>
    <w:rsid w:val="17A25B03"/>
    <w:rsid w:val="186779CF"/>
    <w:rsid w:val="18844762"/>
    <w:rsid w:val="18AE33FD"/>
    <w:rsid w:val="19BB13E3"/>
    <w:rsid w:val="19F506C7"/>
    <w:rsid w:val="1A470FCC"/>
    <w:rsid w:val="1A985BA3"/>
    <w:rsid w:val="1B9C274A"/>
    <w:rsid w:val="1BB11FE2"/>
    <w:rsid w:val="1C9D6A3B"/>
    <w:rsid w:val="1D0C6C36"/>
    <w:rsid w:val="1D4030DF"/>
    <w:rsid w:val="1D854B63"/>
    <w:rsid w:val="1DC32995"/>
    <w:rsid w:val="1E7C4DA7"/>
    <w:rsid w:val="1E823E79"/>
    <w:rsid w:val="1ECD4C4D"/>
    <w:rsid w:val="1FBFF798"/>
    <w:rsid w:val="207756FC"/>
    <w:rsid w:val="21366550"/>
    <w:rsid w:val="21A23128"/>
    <w:rsid w:val="21B76A96"/>
    <w:rsid w:val="221D5CD7"/>
    <w:rsid w:val="224536FA"/>
    <w:rsid w:val="22800FC2"/>
    <w:rsid w:val="2312005D"/>
    <w:rsid w:val="23826ACF"/>
    <w:rsid w:val="23C66D7A"/>
    <w:rsid w:val="23DA3BAB"/>
    <w:rsid w:val="23F17194"/>
    <w:rsid w:val="23F6479A"/>
    <w:rsid w:val="24FC7C44"/>
    <w:rsid w:val="253D1532"/>
    <w:rsid w:val="25577B91"/>
    <w:rsid w:val="25762CD0"/>
    <w:rsid w:val="257D54DD"/>
    <w:rsid w:val="26E4213C"/>
    <w:rsid w:val="26ED66C1"/>
    <w:rsid w:val="27192546"/>
    <w:rsid w:val="272F772D"/>
    <w:rsid w:val="27680D44"/>
    <w:rsid w:val="27986A58"/>
    <w:rsid w:val="27F03116"/>
    <w:rsid w:val="28AE6886"/>
    <w:rsid w:val="28CC007D"/>
    <w:rsid w:val="290F224F"/>
    <w:rsid w:val="298B1907"/>
    <w:rsid w:val="29AC091F"/>
    <w:rsid w:val="2A4365E8"/>
    <w:rsid w:val="2B1B5039"/>
    <w:rsid w:val="2B952D68"/>
    <w:rsid w:val="2BA0283D"/>
    <w:rsid w:val="2BA24F2E"/>
    <w:rsid w:val="2BAC54A4"/>
    <w:rsid w:val="2BFF313B"/>
    <w:rsid w:val="2C433872"/>
    <w:rsid w:val="2D344975"/>
    <w:rsid w:val="2E8B5A0F"/>
    <w:rsid w:val="2E8B7E8F"/>
    <w:rsid w:val="2E964184"/>
    <w:rsid w:val="2E9B5E7E"/>
    <w:rsid w:val="2EB3164D"/>
    <w:rsid w:val="2F066BC8"/>
    <w:rsid w:val="2F1B02E7"/>
    <w:rsid w:val="2F47515D"/>
    <w:rsid w:val="2F58017C"/>
    <w:rsid w:val="30076826"/>
    <w:rsid w:val="30B13C18"/>
    <w:rsid w:val="31215C71"/>
    <w:rsid w:val="315A38AF"/>
    <w:rsid w:val="31FC159A"/>
    <w:rsid w:val="325E5A9D"/>
    <w:rsid w:val="32D77D3F"/>
    <w:rsid w:val="33411528"/>
    <w:rsid w:val="33685F06"/>
    <w:rsid w:val="338153C4"/>
    <w:rsid w:val="348972E6"/>
    <w:rsid w:val="34984F82"/>
    <w:rsid w:val="34B219DB"/>
    <w:rsid w:val="34E463B5"/>
    <w:rsid w:val="3510021E"/>
    <w:rsid w:val="35154204"/>
    <w:rsid w:val="356A1FF6"/>
    <w:rsid w:val="3572355F"/>
    <w:rsid w:val="35FFE094"/>
    <w:rsid w:val="36AF2A64"/>
    <w:rsid w:val="36E36F73"/>
    <w:rsid w:val="3739507D"/>
    <w:rsid w:val="37F7B7BA"/>
    <w:rsid w:val="380431A8"/>
    <w:rsid w:val="38E44EF9"/>
    <w:rsid w:val="3950750B"/>
    <w:rsid w:val="3A05281B"/>
    <w:rsid w:val="3A093D42"/>
    <w:rsid w:val="3A097102"/>
    <w:rsid w:val="3A0D4509"/>
    <w:rsid w:val="3A4F5BC8"/>
    <w:rsid w:val="3AF6616C"/>
    <w:rsid w:val="3B096456"/>
    <w:rsid w:val="3BBD4CF3"/>
    <w:rsid w:val="3CAB3920"/>
    <w:rsid w:val="3CD90E4D"/>
    <w:rsid w:val="3CFA7A75"/>
    <w:rsid w:val="3D696165"/>
    <w:rsid w:val="3D973EF4"/>
    <w:rsid w:val="3DFB3688"/>
    <w:rsid w:val="3E0B61EA"/>
    <w:rsid w:val="3E8C11F4"/>
    <w:rsid w:val="3EB9C5E1"/>
    <w:rsid w:val="3EC37058"/>
    <w:rsid w:val="3ED44983"/>
    <w:rsid w:val="3ED616B6"/>
    <w:rsid w:val="3EFDDA0F"/>
    <w:rsid w:val="3F3B29F7"/>
    <w:rsid w:val="3F9C3806"/>
    <w:rsid w:val="3F9C78C6"/>
    <w:rsid w:val="3F9E0927"/>
    <w:rsid w:val="3FB71CEC"/>
    <w:rsid w:val="3FDBD5BC"/>
    <w:rsid w:val="3FF668A5"/>
    <w:rsid w:val="4058770F"/>
    <w:rsid w:val="41170F77"/>
    <w:rsid w:val="411D03B3"/>
    <w:rsid w:val="42201BFE"/>
    <w:rsid w:val="42246166"/>
    <w:rsid w:val="42381DE4"/>
    <w:rsid w:val="423F3F8C"/>
    <w:rsid w:val="42A13F64"/>
    <w:rsid w:val="42B00CE5"/>
    <w:rsid w:val="43132609"/>
    <w:rsid w:val="44057A70"/>
    <w:rsid w:val="441D1531"/>
    <w:rsid w:val="442F41F5"/>
    <w:rsid w:val="444D61CC"/>
    <w:rsid w:val="44897CF1"/>
    <w:rsid w:val="44E55D85"/>
    <w:rsid w:val="451624F8"/>
    <w:rsid w:val="452C692E"/>
    <w:rsid w:val="45647C6A"/>
    <w:rsid w:val="45DB7532"/>
    <w:rsid w:val="461323CD"/>
    <w:rsid w:val="461D4966"/>
    <w:rsid w:val="46594B7F"/>
    <w:rsid w:val="46854FB4"/>
    <w:rsid w:val="46C300B9"/>
    <w:rsid w:val="47470F38"/>
    <w:rsid w:val="477C3CBD"/>
    <w:rsid w:val="47894D6B"/>
    <w:rsid w:val="479C4A08"/>
    <w:rsid w:val="486863DF"/>
    <w:rsid w:val="488248DF"/>
    <w:rsid w:val="48ED60E4"/>
    <w:rsid w:val="494063E6"/>
    <w:rsid w:val="49F7222F"/>
    <w:rsid w:val="4A354B22"/>
    <w:rsid w:val="4A791CDD"/>
    <w:rsid w:val="4AB14F4B"/>
    <w:rsid w:val="4B0220A8"/>
    <w:rsid w:val="4B637AF1"/>
    <w:rsid w:val="4B90365C"/>
    <w:rsid w:val="4BA7D021"/>
    <w:rsid w:val="4BD3378D"/>
    <w:rsid w:val="4C657007"/>
    <w:rsid w:val="4C916CF0"/>
    <w:rsid w:val="4C9A2815"/>
    <w:rsid w:val="4CAA5B66"/>
    <w:rsid w:val="4D111425"/>
    <w:rsid w:val="4D123869"/>
    <w:rsid w:val="4D2F2ED6"/>
    <w:rsid w:val="4D7877E2"/>
    <w:rsid w:val="4D8B3A70"/>
    <w:rsid w:val="4D8C7CF5"/>
    <w:rsid w:val="4DDF58F9"/>
    <w:rsid w:val="4EC52D3E"/>
    <w:rsid w:val="4F146047"/>
    <w:rsid w:val="4F486116"/>
    <w:rsid w:val="4F93240C"/>
    <w:rsid w:val="4FA16CE1"/>
    <w:rsid w:val="4FD13D0B"/>
    <w:rsid w:val="4FEA3C2A"/>
    <w:rsid w:val="4FFFDE08"/>
    <w:rsid w:val="509A70D5"/>
    <w:rsid w:val="50F338D6"/>
    <w:rsid w:val="510C1511"/>
    <w:rsid w:val="51AD2A89"/>
    <w:rsid w:val="530A572A"/>
    <w:rsid w:val="5360347D"/>
    <w:rsid w:val="54DD4695"/>
    <w:rsid w:val="5524236B"/>
    <w:rsid w:val="554172C1"/>
    <w:rsid w:val="5665179A"/>
    <w:rsid w:val="575874B2"/>
    <w:rsid w:val="578665E6"/>
    <w:rsid w:val="57CE2151"/>
    <w:rsid w:val="580F1E5C"/>
    <w:rsid w:val="581925FF"/>
    <w:rsid w:val="58911A63"/>
    <w:rsid w:val="58B526A6"/>
    <w:rsid w:val="58B90337"/>
    <w:rsid w:val="592A1A07"/>
    <w:rsid w:val="59581FF7"/>
    <w:rsid w:val="5A7C60CD"/>
    <w:rsid w:val="5AD75F88"/>
    <w:rsid w:val="5B4349B7"/>
    <w:rsid w:val="5BDD5BE4"/>
    <w:rsid w:val="5C1D6C52"/>
    <w:rsid w:val="5C337A98"/>
    <w:rsid w:val="5C390AE6"/>
    <w:rsid w:val="5CB00F2F"/>
    <w:rsid w:val="5CFD0F54"/>
    <w:rsid w:val="5D4231FB"/>
    <w:rsid w:val="5D5B48DD"/>
    <w:rsid w:val="5DB70610"/>
    <w:rsid w:val="5DCF1E40"/>
    <w:rsid w:val="5DEF3744"/>
    <w:rsid w:val="5E063CDF"/>
    <w:rsid w:val="5E8C7965"/>
    <w:rsid w:val="5EF81DCF"/>
    <w:rsid w:val="5F0C4600"/>
    <w:rsid w:val="5FA4332E"/>
    <w:rsid w:val="5FDE5798"/>
    <w:rsid w:val="5FEF12A2"/>
    <w:rsid w:val="5FFFAB9B"/>
    <w:rsid w:val="608F4F0D"/>
    <w:rsid w:val="613821C6"/>
    <w:rsid w:val="61A910E3"/>
    <w:rsid w:val="622707F4"/>
    <w:rsid w:val="628310D6"/>
    <w:rsid w:val="62A872B1"/>
    <w:rsid w:val="64757483"/>
    <w:rsid w:val="65E11298"/>
    <w:rsid w:val="66263228"/>
    <w:rsid w:val="671C638F"/>
    <w:rsid w:val="67FE3337"/>
    <w:rsid w:val="680E2485"/>
    <w:rsid w:val="68664042"/>
    <w:rsid w:val="688F05A1"/>
    <w:rsid w:val="68D8446A"/>
    <w:rsid w:val="68ED0D36"/>
    <w:rsid w:val="699D1993"/>
    <w:rsid w:val="69A278D5"/>
    <w:rsid w:val="6A3106F0"/>
    <w:rsid w:val="6ABE0206"/>
    <w:rsid w:val="6B5A3042"/>
    <w:rsid w:val="6BBB826E"/>
    <w:rsid w:val="6BD41D15"/>
    <w:rsid w:val="6BF9F70B"/>
    <w:rsid w:val="6BFB71A8"/>
    <w:rsid w:val="6CD97AAA"/>
    <w:rsid w:val="6CFB1505"/>
    <w:rsid w:val="6D023E80"/>
    <w:rsid w:val="6DEB26E8"/>
    <w:rsid w:val="6E133C85"/>
    <w:rsid w:val="6E380B86"/>
    <w:rsid w:val="6E576667"/>
    <w:rsid w:val="6EE301CB"/>
    <w:rsid w:val="6F3F694F"/>
    <w:rsid w:val="6F7E71BD"/>
    <w:rsid w:val="6F914A8B"/>
    <w:rsid w:val="6F934781"/>
    <w:rsid w:val="6FDD21D9"/>
    <w:rsid w:val="6FE364CB"/>
    <w:rsid w:val="6FF618A2"/>
    <w:rsid w:val="700F5BCA"/>
    <w:rsid w:val="701B7AD7"/>
    <w:rsid w:val="70860FCE"/>
    <w:rsid w:val="709B7F41"/>
    <w:rsid w:val="70E769B8"/>
    <w:rsid w:val="722B0B8F"/>
    <w:rsid w:val="73162739"/>
    <w:rsid w:val="732B2A54"/>
    <w:rsid w:val="73486D9B"/>
    <w:rsid w:val="7362442A"/>
    <w:rsid w:val="73926053"/>
    <w:rsid w:val="73A5216A"/>
    <w:rsid w:val="73C04B0D"/>
    <w:rsid w:val="73FB7551"/>
    <w:rsid w:val="741A7D3A"/>
    <w:rsid w:val="743B6F18"/>
    <w:rsid w:val="74CC63D7"/>
    <w:rsid w:val="75325610"/>
    <w:rsid w:val="753A3FE4"/>
    <w:rsid w:val="756049DA"/>
    <w:rsid w:val="75EB20D0"/>
    <w:rsid w:val="75FFA1CF"/>
    <w:rsid w:val="769B08B1"/>
    <w:rsid w:val="77021653"/>
    <w:rsid w:val="77440FD4"/>
    <w:rsid w:val="77F78E53"/>
    <w:rsid w:val="77FEF65F"/>
    <w:rsid w:val="781711DC"/>
    <w:rsid w:val="782A227F"/>
    <w:rsid w:val="783A3429"/>
    <w:rsid w:val="7874708E"/>
    <w:rsid w:val="78B611EF"/>
    <w:rsid w:val="78B92AB0"/>
    <w:rsid w:val="792373AC"/>
    <w:rsid w:val="79642644"/>
    <w:rsid w:val="796D0834"/>
    <w:rsid w:val="79AF0B60"/>
    <w:rsid w:val="79DF1FAB"/>
    <w:rsid w:val="7A604DAA"/>
    <w:rsid w:val="7A991D63"/>
    <w:rsid w:val="7A9A220D"/>
    <w:rsid w:val="7ABC67C5"/>
    <w:rsid w:val="7ABE2216"/>
    <w:rsid w:val="7AD81989"/>
    <w:rsid w:val="7B32D755"/>
    <w:rsid w:val="7B3F2C58"/>
    <w:rsid w:val="7B781A66"/>
    <w:rsid w:val="7B8857F7"/>
    <w:rsid w:val="7BBBAC01"/>
    <w:rsid w:val="7BDF8231"/>
    <w:rsid w:val="7C963593"/>
    <w:rsid w:val="7CB81966"/>
    <w:rsid w:val="7CC17D13"/>
    <w:rsid w:val="7D3B0997"/>
    <w:rsid w:val="7D6A5BEF"/>
    <w:rsid w:val="7D9FC680"/>
    <w:rsid w:val="7DD5EB0F"/>
    <w:rsid w:val="7DD70851"/>
    <w:rsid w:val="7DD77E3D"/>
    <w:rsid w:val="7DD86C38"/>
    <w:rsid w:val="7DDFB329"/>
    <w:rsid w:val="7E7577C6"/>
    <w:rsid w:val="7EA347EA"/>
    <w:rsid w:val="7EB84980"/>
    <w:rsid w:val="7EF52DF5"/>
    <w:rsid w:val="7EFE6267"/>
    <w:rsid w:val="7F7F44F0"/>
    <w:rsid w:val="7FBDA7A5"/>
    <w:rsid w:val="7FC830AF"/>
    <w:rsid w:val="7FCFB2EB"/>
    <w:rsid w:val="7FE76DBC"/>
    <w:rsid w:val="7FF71DB8"/>
    <w:rsid w:val="7FFA5616"/>
    <w:rsid w:val="7FFDD3F4"/>
    <w:rsid w:val="8C5214B9"/>
    <w:rsid w:val="8DFA8BCE"/>
    <w:rsid w:val="9DFDED8C"/>
    <w:rsid w:val="9FCEAE5A"/>
    <w:rsid w:val="A7FD5A90"/>
    <w:rsid w:val="A9AFA10A"/>
    <w:rsid w:val="AF6FF258"/>
    <w:rsid w:val="AF7D85CE"/>
    <w:rsid w:val="B2F6232E"/>
    <w:rsid w:val="B2FF311A"/>
    <w:rsid w:val="B467C9FB"/>
    <w:rsid w:val="B7A7D90C"/>
    <w:rsid w:val="BA3FB0FC"/>
    <w:rsid w:val="BB7FB33A"/>
    <w:rsid w:val="BF63B62A"/>
    <w:rsid w:val="BF7D20D9"/>
    <w:rsid w:val="BF7D8601"/>
    <w:rsid w:val="BFDF4AB1"/>
    <w:rsid w:val="BFFFD293"/>
    <w:rsid w:val="C3FB9FDA"/>
    <w:rsid w:val="C9FD4979"/>
    <w:rsid w:val="CC5FA83F"/>
    <w:rsid w:val="CFB70A01"/>
    <w:rsid w:val="CFDD3CC0"/>
    <w:rsid w:val="CFFF96B7"/>
    <w:rsid w:val="CFFFFDD4"/>
    <w:rsid w:val="D3BFF0A0"/>
    <w:rsid w:val="D5C5C0DF"/>
    <w:rsid w:val="D7FF3D7F"/>
    <w:rsid w:val="DFBFB7F2"/>
    <w:rsid w:val="DFE77FAB"/>
    <w:rsid w:val="DFEFBB93"/>
    <w:rsid w:val="E39FD694"/>
    <w:rsid w:val="E4EEF9EB"/>
    <w:rsid w:val="E69B4AEE"/>
    <w:rsid w:val="E77DC493"/>
    <w:rsid w:val="E7B760BA"/>
    <w:rsid w:val="E7FBC3E8"/>
    <w:rsid w:val="E7FE5CA2"/>
    <w:rsid w:val="ECEF35A0"/>
    <w:rsid w:val="EEBFE22F"/>
    <w:rsid w:val="EEFF118B"/>
    <w:rsid w:val="EF1E10DA"/>
    <w:rsid w:val="EF3755D8"/>
    <w:rsid w:val="EFABF1D3"/>
    <w:rsid w:val="EFAD0CAE"/>
    <w:rsid w:val="EFDE4FFF"/>
    <w:rsid w:val="F27B5639"/>
    <w:rsid w:val="F37F2E6F"/>
    <w:rsid w:val="F5FBF46E"/>
    <w:rsid w:val="F79F7A89"/>
    <w:rsid w:val="F7DD94C7"/>
    <w:rsid w:val="F7E51BC8"/>
    <w:rsid w:val="F7FD0A47"/>
    <w:rsid w:val="F9DF2AAC"/>
    <w:rsid w:val="FAEEA510"/>
    <w:rsid w:val="FAF74730"/>
    <w:rsid w:val="FBD5D655"/>
    <w:rsid w:val="FBF55F49"/>
    <w:rsid w:val="FC6B979C"/>
    <w:rsid w:val="FD7E2302"/>
    <w:rsid w:val="FD7F5AF2"/>
    <w:rsid w:val="FDF5A35A"/>
    <w:rsid w:val="FDFF37D6"/>
    <w:rsid w:val="FEF73E06"/>
    <w:rsid w:val="FF53C7AB"/>
    <w:rsid w:val="FF759202"/>
    <w:rsid w:val="FFAF5204"/>
    <w:rsid w:val="FFB62E06"/>
    <w:rsid w:val="FFE7F323"/>
    <w:rsid w:val="FFF305C9"/>
    <w:rsid w:val="FFFF4ABD"/>
    <w:rsid w:val="FFFFE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22"/>
    <w:rPr>
      <w:b/>
      <w:bCs/>
    </w:r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1329</Words>
  <Characters>7579</Characters>
  <Lines>63</Lines>
  <Paragraphs>17</Paragraphs>
  <ScaleCrop>false</ScaleCrop>
  <LinksUpToDate>false</LinksUpToDate>
  <CharactersWithSpaces>8891</CharactersWithSpaces>
  <Application>WPS Office_3.2.0.5058_F1E327BC-269C-435d-A152-05C5408002CA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2020-06-05T22:47:00Z</dcterms:created>
  <dc:creator>sun hongyang</dc:creator>
  <cp:lastModifiedBy>wangchunyang</cp:lastModifiedBy>
  <cp:lastPrinted>2021-01-19T05:07:00Z</cp:lastPrinted>
  <dcterms:modified xsi:type="dcterms:W3CDTF">2021-01-28T21:34:59Z</dcterms:modified>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2052-3.2.0.5058</vt:lpwstr>
  </property>
</Properties>
</file>